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724AD" w14:textId="159F6B50" w:rsidR="00F2477C" w:rsidRDefault="002C1394" w:rsidP="00F2477C">
      <w:pPr>
        <w:jc w:val="center"/>
        <w:rPr>
          <w:rFonts w:asciiTheme="majorBidi" w:hAnsiTheme="majorBidi" w:cstheme="majorBidi"/>
          <w:b/>
          <w:bCs/>
        </w:rPr>
      </w:pPr>
      <w:r w:rsidRPr="002C1394">
        <w:rPr>
          <w:rFonts w:asciiTheme="majorBidi" w:hAnsiTheme="majorBidi" w:cstheme="majorBidi"/>
          <w:b/>
          <w:bCs/>
        </w:rPr>
        <w:t>DĖL ATLIKTŲ UAB „OLYMPIC CASINO GROUP BALTIJA“ PLANINIŲ PATIKRINIMŲ PAGAL 2025 M. SAUSIO 23 D. PAVEDIMĄ PATIKRINTI NR. PT-6 IR 2025 M. SAUSIO 28 D. PAVEDIMĄ PATIKRINTI NR. PT-8</w:t>
      </w:r>
    </w:p>
    <w:p w14:paraId="7DF26342" w14:textId="4D03EB69" w:rsidR="00F2477C" w:rsidRDefault="00F2477C" w:rsidP="00F2477C">
      <w:pPr>
        <w:widowControl w:val="0"/>
        <w:tabs>
          <w:tab w:val="left" w:pos="1134"/>
          <w:tab w:val="left" w:pos="1276"/>
        </w:tabs>
        <w:spacing w:line="259" w:lineRule="auto"/>
        <w:ind w:firstLine="720"/>
        <w:jc w:val="both"/>
        <w:rPr>
          <w:rFonts w:asciiTheme="majorBidi" w:hAnsiTheme="majorBidi" w:cstheme="majorBidi"/>
        </w:rPr>
      </w:pPr>
      <w:r w:rsidRPr="003C1BEF">
        <w:rPr>
          <w:rFonts w:asciiTheme="majorBidi" w:hAnsiTheme="majorBidi" w:cstheme="majorBidi"/>
        </w:rPr>
        <w:t xml:space="preserve">Lošimų priežiūros tarnyboje buvo pradėtas UAB „Olympic Casino Group Baltija“ (toliau </w:t>
      </w:r>
      <w:r w:rsidR="002F386E">
        <w:rPr>
          <w:rFonts w:asciiTheme="majorBidi" w:hAnsiTheme="majorBidi" w:cstheme="majorBidi"/>
        </w:rPr>
        <w:t>–</w:t>
      </w:r>
      <w:r w:rsidRPr="003C1BEF">
        <w:rPr>
          <w:rFonts w:asciiTheme="majorBidi" w:hAnsiTheme="majorBidi" w:cstheme="majorBidi"/>
        </w:rPr>
        <w:t xml:space="preserve"> </w:t>
      </w:r>
      <w:r w:rsidR="002F386E">
        <w:rPr>
          <w:rFonts w:asciiTheme="majorBidi" w:hAnsiTheme="majorBidi" w:cstheme="majorBidi"/>
        </w:rPr>
        <w:t xml:space="preserve">ir </w:t>
      </w:r>
      <w:r w:rsidRPr="003C1BEF">
        <w:rPr>
          <w:rFonts w:asciiTheme="majorBidi" w:hAnsiTheme="majorBidi" w:cstheme="majorBidi"/>
        </w:rPr>
        <w:t>Bendrovė) lošimo namų (kazino) planinis patikrinimas, kurį atlikus, padaryta išvada, kad</w:t>
      </w:r>
      <w:r>
        <w:rPr>
          <w:rFonts w:asciiTheme="majorBidi" w:hAnsiTheme="majorBidi" w:cstheme="majorBidi"/>
          <w:b/>
          <w:bCs/>
        </w:rPr>
        <w:t xml:space="preserve"> </w:t>
      </w:r>
      <w:r w:rsidRPr="006F5CC7">
        <w:rPr>
          <w:rFonts w:asciiTheme="majorBidi" w:hAnsiTheme="majorBidi" w:cstheme="majorBidi"/>
        </w:rPr>
        <w:t>Bendrovė pažeidė</w:t>
      </w:r>
      <w:r w:rsidR="002F386E">
        <w:rPr>
          <w:rFonts w:asciiTheme="majorBidi" w:hAnsiTheme="majorBidi" w:cstheme="majorBidi"/>
        </w:rPr>
        <w:t xml:space="preserve"> Lietuvos Respublikos pinigų plovimo ir teroristų finansavimo prevencijos įstatymo (toliau –</w:t>
      </w:r>
      <w:r w:rsidRPr="006F5CC7">
        <w:rPr>
          <w:rFonts w:asciiTheme="majorBidi" w:hAnsiTheme="majorBidi" w:cstheme="majorBidi"/>
        </w:rPr>
        <w:t xml:space="preserve"> PPTFPĮ</w:t>
      </w:r>
      <w:r w:rsidR="002F386E">
        <w:rPr>
          <w:rFonts w:asciiTheme="majorBidi" w:hAnsiTheme="majorBidi" w:cstheme="majorBidi"/>
        </w:rPr>
        <w:t>)</w:t>
      </w:r>
      <w:r w:rsidRPr="006F5CC7">
        <w:rPr>
          <w:rFonts w:asciiTheme="majorBidi" w:hAnsiTheme="majorBidi" w:cstheme="majorBidi"/>
        </w:rPr>
        <w:t xml:space="preserve"> 9 straipsnio 9 dalies nuostatą, kai Bendrovės klientai, kurie buvo išėję iš lošimo namų (kazino) ir sugrįžę atgal į tuos pačius lošimo namus (kazino) (klientai lošimo namuose (kazino) nebuvo nuo 43 min. iki 8 val. 56 min.), sugrįžimo / įėjimo momentu nebuvo užregistruoti Klientų, įeinančių į lošimo namus (kazino), registracijos žurnale. </w:t>
      </w:r>
    </w:p>
    <w:p w14:paraId="347F292C" w14:textId="7CC6E4E4" w:rsidR="00F2477C" w:rsidRPr="006F5CC7" w:rsidRDefault="002F386E" w:rsidP="00F2477C">
      <w:pPr>
        <w:spacing w:line="259" w:lineRule="auto"/>
        <w:ind w:firstLine="72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color w:val="000000" w:themeColor="text1"/>
        </w:rPr>
        <w:t>U</w:t>
      </w:r>
      <w:r w:rsidR="00F2477C" w:rsidRPr="3FBC8D56">
        <w:rPr>
          <w:rFonts w:asciiTheme="majorBidi" w:hAnsiTheme="majorBidi" w:cstheme="majorBidi"/>
          <w:color w:val="000000" w:themeColor="text1"/>
        </w:rPr>
        <w:t xml:space="preserve">ž konstatuotą </w:t>
      </w:r>
      <w:r w:rsidR="00F2477C" w:rsidRPr="3FBC8D56">
        <w:rPr>
          <w:rFonts w:asciiTheme="majorBidi" w:hAnsiTheme="majorBidi" w:cstheme="majorBidi"/>
        </w:rPr>
        <w:t>PPTFPĮ 9 straipsnio 9 dalies pažeidimą</w:t>
      </w:r>
      <w:r>
        <w:rPr>
          <w:rFonts w:asciiTheme="majorBidi" w:hAnsiTheme="majorBidi" w:cstheme="majorBidi"/>
        </w:rPr>
        <w:t xml:space="preserve"> atsakingas </w:t>
      </w:r>
      <w:r w:rsidRPr="3FBC8D56">
        <w:rPr>
          <w:rFonts w:asciiTheme="majorBidi" w:hAnsiTheme="majorBidi" w:cstheme="majorBidi"/>
        </w:rPr>
        <w:t>Bendrovės generalinis direktorius</w:t>
      </w:r>
      <w:r>
        <w:rPr>
          <w:rFonts w:asciiTheme="majorBidi" w:hAnsiTheme="majorBidi" w:cstheme="majorBidi"/>
        </w:rPr>
        <w:t>.</w:t>
      </w:r>
    </w:p>
    <w:p w14:paraId="3FCD74D2" w14:textId="2A36A4BB" w:rsidR="00F2477C" w:rsidRPr="006F5CC7" w:rsidRDefault="002F386E" w:rsidP="00F2477C">
      <w:pPr>
        <w:widowControl w:val="0"/>
        <w:tabs>
          <w:tab w:val="left" w:pos="1134"/>
          <w:tab w:val="left" w:pos="1276"/>
        </w:tabs>
        <w:spacing w:line="259" w:lineRule="auto"/>
        <w:ind w:firstLine="72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Lošimų priežiūros tarnyboje </w:t>
      </w:r>
      <w:r w:rsidR="00F2477C" w:rsidRPr="006F5CC7">
        <w:rPr>
          <w:rFonts w:asciiTheme="majorBidi" w:hAnsiTheme="majorBidi" w:cstheme="majorBidi"/>
        </w:rPr>
        <w:t xml:space="preserve">nutarta dėl padaryto PPTFPĮ 9 straipsnio 9 dalies pažeidimo, vadovaujantis PPTFPĮ 35 straipsniu, inicijuoti procedūrą dėl privalomų nurodymų </w:t>
      </w:r>
      <w:r>
        <w:rPr>
          <w:rFonts w:asciiTheme="majorBidi" w:hAnsiTheme="majorBidi" w:cstheme="majorBidi"/>
        </w:rPr>
        <w:t>Bendrovei</w:t>
      </w:r>
      <w:r w:rsidR="00F2477C" w:rsidRPr="006F5CC7">
        <w:rPr>
          <w:rFonts w:asciiTheme="majorBidi" w:hAnsiTheme="majorBidi" w:cstheme="majorBidi"/>
        </w:rPr>
        <w:t xml:space="preserve"> davimo.</w:t>
      </w:r>
    </w:p>
    <w:p w14:paraId="41487036" w14:textId="0892BEFE" w:rsidR="00F2477C" w:rsidRDefault="0072140A" w:rsidP="00F2477C">
      <w:pPr>
        <w:ind w:firstLine="72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Bendrovė Priežiūros tarnybai pateikė </w:t>
      </w:r>
      <w:r w:rsidR="00F2477C" w:rsidRPr="006F5CC7">
        <w:rPr>
          <w:rFonts w:asciiTheme="majorBidi" w:hAnsiTheme="majorBidi" w:cstheme="majorBidi"/>
        </w:rPr>
        <w:t>pakeistą Kliento tapatybės nustatymo, patikrinimo ir registravimo lošimo namuose (kazino) tvarką (toliau –</w:t>
      </w:r>
      <w:r w:rsidR="002F386E">
        <w:rPr>
          <w:rFonts w:asciiTheme="majorBidi" w:hAnsiTheme="majorBidi" w:cstheme="majorBidi"/>
        </w:rPr>
        <w:t xml:space="preserve"> </w:t>
      </w:r>
      <w:r w:rsidR="00F2477C" w:rsidRPr="006F5CC7">
        <w:rPr>
          <w:rFonts w:asciiTheme="majorBidi" w:hAnsiTheme="majorBidi" w:cstheme="majorBidi"/>
        </w:rPr>
        <w:t>Tvarka) dėl PPTFPĮ 9 straipsnio 9 dalyje įtvirtintų reikalavimų įvykdymo, o būtent</w:t>
      </w:r>
      <w:r w:rsidR="003D2490">
        <w:rPr>
          <w:rFonts w:asciiTheme="majorBidi" w:hAnsiTheme="majorBidi" w:cstheme="majorBidi"/>
        </w:rPr>
        <w:t xml:space="preserve"> nustatė, </w:t>
      </w:r>
      <w:r w:rsidR="00F2477C" w:rsidRPr="006F5CC7">
        <w:rPr>
          <w:rFonts w:asciiTheme="majorBidi" w:hAnsiTheme="majorBidi" w:cstheme="majorBidi"/>
        </w:rPr>
        <w:t>kada (kokiam laiko tarpui praėjus), patikrinus kliento, įeinančio į lošimo namus (kazino), tapatybę, galima kliento pakartotinai neberegistruoti įeinančių į lošimo namus (kazino) žurnale</w:t>
      </w:r>
      <w:r w:rsidR="00F2477C">
        <w:rPr>
          <w:rFonts w:asciiTheme="majorBidi" w:hAnsiTheme="majorBidi" w:cstheme="majorBidi"/>
        </w:rPr>
        <w:t>.</w:t>
      </w:r>
    </w:p>
    <w:p w14:paraId="1C1CFF35" w14:textId="58232820" w:rsidR="00F2477C" w:rsidRDefault="0011029E" w:rsidP="002F386E">
      <w:pPr>
        <w:ind w:firstLine="72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</w:t>
      </w:r>
      <w:r w:rsidRPr="006F5CC7">
        <w:rPr>
          <w:rFonts w:asciiTheme="majorBidi" w:hAnsiTheme="majorBidi" w:cstheme="majorBidi"/>
        </w:rPr>
        <w:t xml:space="preserve">iekiant įvertinti, ar Bendrovės pateikta pakeista (atnaujinta) </w:t>
      </w:r>
      <w:r>
        <w:rPr>
          <w:rFonts w:asciiTheme="majorBidi" w:hAnsiTheme="majorBidi" w:cstheme="majorBidi"/>
        </w:rPr>
        <w:t>T</w:t>
      </w:r>
      <w:r w:rsidRPr="006F5CC7">
        <w:rPr>
          <w:rFonts w:asciiTheme="majorBidi" w:hAnsiTheme="majorBidi" w:cstheme="majorBidi"/>
        </w:rPr>
        <w:t>varka atitinka PPTFPĮ 9 straipsnio 9 dalį</w:t>
      </w:r>
      <w:r>
        <w:rPr>
          <w:rFonts w:asciiTheme="majorBidi" w:hAnsiTheme="majorBidi" w:cstheme="majorBidi"/>
        </w:rPr>
        <w:t>, a</w:t>
      </w:r>
      <w:r w:rsidR="002F386E">
        <w:rPr>
          <w:rFonts w:asciiTheme="majorBidi" w:hAnsiTheme="majorBidi" w:cstheme="majorBidi"/>
        </w:rPr>
        <w:t>tlik</w:t>
      </w:r>
      <w:r>
        <w:rPr>
          <w:rFonts w:asciiTheme="majorBidi" w:hAnsiTheme="majorBidi" w:cstheme="majorBidi"/>
        </w:rPr>
        <w:t>tas</w:t>
      </w:r>
      <w:r w:rsidR="0072140A">
        <w:rPr>
          <w:rFonts w:asciiTheme="majorBidi" w:hAnsiTheme="majorBidi" w:cstheme="majorBidi"/>
        </w:rPr>
        <w:t xml:space="preserve"> </w:t>
      </w:r>
      <w:r w:rsidR="00F2477C" w:rsidRPr="006F5CC7">
        <w:rPr>
          <w:rFonts w:asciiTheme="majorBidi" w:hAnsiTheme="majorBidi" w:cstheme="majorBidi"/>
        </w:rPr>
        <w:t>papildom</w:t>
      </w:r>
      <w:r>
        <w:rPr>
          <w:rFonts w:asciiTheme="majorBidi" w:hAnsiTheme="majorBidi" w:cstheme="majorBidi"/>
        </w:rPr>
        <w:t>as</w:t>
      </w:r>
      <w:r w:rsidR="00F2477C" w:rsidRPr="006F5CC7">
        <w:rPr>
          <w:rFonts w:asciiTheme="majorBidi" w:hAnsiTheme="majorBidi" w:cstheme="majorBidi"/>
        </w:rPr>
        <w:t xml:space="preserve"> patikrinim</w:t>
      </w:r>
      <w:r>
        <w:rPr>
          <w:rFonts w:asciiTheme="majorBidi" w:hAnsiTheme="majorBidi" w:cstheme="majorBidi"/>
        </w:rPr>
        <w:t>as</w:t>
      </w:r>
      <w:r w:rsidR="00F2477C" w:rsidRPr="006F5CC7">
        <w:rPr>
          <w:rFonts w:asciiTheme="majorBidi" w:hAnsiTheme="majorBidi" w:cstheme="majorBidi"/>
        </w:rPr>
        <w:t>,</w:t>
      </w:r>
      <w:r>
        <w:rPr>
          <w:rFonts w:asciiTheme="majorBidi" w:hAnsiTheme="majorBidi" w:cstheme="majorBidi"/>
        </w:rPr>
        <w:t xml:space="preserve"> po kurio</w:t>
      </w:r>
      <w:r w:rsidR="002F386E">
        <w:rPr>
          <w:rFonts w:asciiTheme="majorBidi" w:hAnsiTheme="majorBidi" w:cstheme="majorBidi"/>
        </w:rPr>
        <w:t xml:space="preserve"> </w:t>
      </w:r>
      <w:r w:rsidR="00F2477C" w:rsidRPr="006F5CC7">
        <w:rPr>
          <w:rFonts w:asciiTheme="majorBidi" w:hAnsiTheme="majorBidi" w:cstheme="majorBidi"/>
        </w:rPr>
        <w:t>konstatuota, kad Bendrovės Tvarkos 2026 m. gegužės 4 d. pakeitimai</w:t>
      </w:r>
      <w:r w:rsidR="002F386E">
        <w:rPr>
          <w:rFonts w:asciiTheme="majorBidi" w:hAnsiTheme="majorBidi" w:cstheme="majorBidi"/>
        </w:rPr>
        <w:t xml:space="preserve">, </w:t>
      </w:r>
      <w:r w:rsidR="00F2477C" w:rsidRPr="006F5CC7">
        <w:rPr>
          <w:rFonts w:asciiTheme="majorBidi" w:hAnsiTheme="majorBidi" w:cstheme="majorBidi"/>
        </w:rPr>
        <w:t>numatantys atvejus ir laiką, kai patikrinus kliento, įeinančio į lošimo namus (kazino), tapatybę, galima kliento neregistruoti Klientų, įeinančių į lošimo namus (kazino) žurnale</w:t>
      </w:r>
      <w:r w:rsidR="002F386E">
        <w:rPr>
          <w:rFonts w:asciiTheme="majorBidi" w:hAnsiTheme="majorBidi" w:cstheme="majorBidi"/>
        </w:rPr>
        <w:t xml:space="preserve"> (Bendrovė </w:t>
      </w:r>
      <w:r w:rsidR="002F386E" w:rsidRPr="006F5CC7">
        <w:rPr>
          <w:rFonts w:asciiTheme="majorBidi" w:hAnsiTheme="majorBidi" w:cstheme="majorBidi"/>
          <w:bCs/>
          <w:iCs/>
        </w:rPr>
        <w:t>nustatė trumpos pertraukos laiką (15 ir 30 minučių) ir aiškiai įvardino minėto laiko taikymo sąlygas, išvengiant galimų piktnaudžiavimo atvejų</w:t>
      </w:r>
      <w:r w:rsidR="002F386E">
        <w:rPr>
          <w:rFonts w:asciiTheme="majorBidi" w:hAnsiTheme="majorBidi" w:cstheme="majorBidi"/>
          <w:bCs/>
          <w:iCs/>
        </w:rPr>
        <w:t>)</w:t>
      </w:r>
      <w:r w:rsidR="00F2477C" w:rsidRPr="006F5CC7">
        <w:rPr>
          <w:rFonts w:asciiTheme="majorBidi" w:hAnsiTheme="majorBidi" w:cstheme="majorBidi"/>
        </w:rPr>
        <w:t>, atitinka PPTFPĮ 9 straipsnio 9 dalies esmę ir protingumo bei proporcingumo principus.</w:t>
      </w:r>
    </w:p>
    <w:p w14:paraId="5D5A1785" w14:textId="27A10823" w:rsidR="003C1BEF" w:rsidRPr="003C1BEF" w:rsidRDefault="003C1BEF" w:rsidP="003C1BEF">
      <w:pPr>
        <w:widowControl w:val="0"/>
        <w:shd w:val="clear" w:color="auto" w:fill="FFFFFF" w:themeFill="background1"/>
        <w:spacing w:line="259" w:lineRule="auto"/>
        <w:ind w:firstLine="720"/>
        <w:jc w:val="both"/>
        <w:rPr>
          <w:rFonts w:asciiTheme="majorBidi" w:hAnsiTheme="majorBidi" w:cstheme="majorBidi"/>
        </w:rPr>
      </w:pPr>
      <w:r w:rsidRPr="003C1BEF">
        <w:rPr>
          <w:rFonts w:asciiTheme="majorBidi" w:hAnsiTheme="majorBidi" w:cstheme="majorBidi"/>
        </w:rPr>
        <w:t>Įvertinus visas su nustatytu pažeidimu susijusias aplinkybes, t. y. tai, kad pažeidimas pašalintas</w:t>
      </w:r>
      <w:r w:rsidR="002F386E">
        <w:rPr>
          <w:rFonts w:asciiTheme="majorBidi" w:hAnsiTheme="majorBidi" w:cstheme="majorBidi"/>
        </w:rPr>
        <w:t xml:space="preserve"> (</w:t>
      </w:r>
      <w:r w:rsidR="002F386E" w:rsidRPr="3FBC8D56">
        <w:rPr>
          <w:rFonts w:asciiTheme="majorBidi" w:hAnsiTheme="majorBidi" w:cstheme="majorBidi"/>
        </w:rPr>
        <w:t>dėl ko nebuvo teisinio pagrindo inicijuoti privalomojo nurodymo taikymo procedūros</w:t>
      </w:r>
      <w:r w:rsidR="002F386E">
        <w:rPr>
          <w:rFonts w:asciiTheme="majorBidi" w:hAnsiTheme="majorBidi" w:cstheme="majorBidi"/>
        </w:rPr>
        <w:t>)</w:t>
      </w:r>
      <w:r w:rsidR="002F386E" w:rsidRPr="3FBC8D56">
        <w:rPr>
          <w:rFonts w:asciiTheme="majorBidi" w:hAnsiTheme="majorBidi" w:cstheme="majorBidi"/>
        </w:rPr>
        <w:t>; nenustatyta, kad pažeidimas buvo padarytas tyčia; nenustatyta Bendrovės atsakomybę sunkinančių aplinkybių</w:t>
      </w:r>
      <w:r w:rsidR="002F386E">
        <w:rPr>
          <w:rFonts w:asciiTheme="majorBidi" w:hAnsiTheme="majorBidi" w:cstheme="majorBidi"/>
        </w:rPr>
        <w:t>,</w:t>
      </w:r>
      <w:r w:rsidR="002F386E" w:rsidRPr="3FBC8D56">
        <w:rPr>
          <w:rFonts w:asciiTheme="majorBidi" w:hAnsiTheme="majorBidi" w:cstheme="majorBidi"/>
        </w:rPr>
        <w:t xml:space="preserve"> </w:t>
      </w:r>
      <w:r w:rsidRPr="003C1BEF">
        <w:rPr>
          <w:rFonts w:asciiTheme="majorBidi" w:hAnsiTheme="majorBidi" w:cstheme="majorBidi"/>
        </w:rPr>
        <w:t>pažeidimas pripažintas mažareikšmiu teisės aktų reikalavimų pažeidimu, ir UAB „Olympic Casino Group Baltija“</w:t>
      </w:r>
      <w:r w:rsidR="002F386E">
        <w:rPr>
          <w:rFonts w:asciiTheme="majorBidi" w:hAnsiTheme="majorBidi" w:cstheme="majorBidi"/>
        </w:rPr>
        <w:t xml:space="preserve"> </w:t>
      </w:r>
      <w:r w:rsidRPr="003C1BEF">
        <w:rPr>
          <w:rFonts w:asciiTheme="majorBidi" w:hAnsiTheme="majorBidi" w:cstheme="majorBidi"/>
        </w:rPr>
        <w:t>poveikio priemonės dėl konstatuoto pažeidimo netaikytos.</w:t>
      </w:r>
    </w:p>
    <w:p w14:paraId="64454279" w14:textId="77777777" w:rsidR="003C1BEF" w:rsidRPr="003C1BEF" w:rsidRDefault="003C1BEF" w:rsidP="003C1BEF">
      <w:pPr>
        <w:widowControl w:val="0"/>
        <w:shd w:val="clear" w:color="auto" w:fill="FFFFFF" w:themeFill="background1"/>
        <w:spacing w:line="259" w:lineRule="auto"/>
        <w:ind w:firstLine="720"/>
        <w:jc w:val="both"/>
        <w:rPr>
          <w:rFonts w:asciiTheme="majorBidi" w:hAnsiTheme="majorBidi" w:cstheme="majorBidi"/>
        </w:rPr>
      </w:pPr>
      <w:r w:rsidRPr="003C1BEF">
        <w:rPr>
          <w:rFonts w:asciiTheme="majorBidi" w:hAnsiTheme="majorBidi" w:cstheme="majorBidi"/>
        </w:rPr>
        <w:t>Bendrovė įspėta, kad už pakartotinai per vienerius metus padarytą tapatų pažeidimą, kuris buvo pripažintas kaip mažareikšmis, bus taikomos PPTFPĮ numatytos poveikio priemonės.</w:t>
      </w:r>
    </w:p>
    <w:p w14:paraId="59285681" w14:textId="6AE599E4" w:rsidR="003C1BEF" w:rsidRPr="003D2490" w:rsidRDefault="003C1BEF" w:rsidP="003D2490">
      <w:pPr>
        <w:widowControl w:val="0"/>
        <w:shd w:val="clear" w:color="auto" w:fill="FFFFFF" w:themeFill="background1"/>
        <w:spacing w:line="259" w:lineRule="auto"/>
        <w:ind w:firstLine="720"/>
        <w:jc w:val="both"/>
        <w:rPr>
          <w:rFonts w:asciiTheme="majorBidi" w:hAnsiTheme="majorBidi" w:cstheme="majorBidi"/>
        </w:rPr>
      </w:pPr>
      <w:r w:rsidRPr="003C1BEF">
        <w:rPr>
          <w:rFonts w:asciiTheme="majorBidi" w:hAnsiTheme="majorBidi" w:cstheme="majorBidi"/>
        </w:rPr>
        <w:t>Priežiūros tarnybos priimami sprendimai nėra galutiniai bei gali būti skundžiami Lietuvos Respublikos administracinių bylų teisenos įstatymo nustatyta tvarka. </w:t>
      </w:r>
    </w:p>
    <w:p w14:paraId="4594A84E" w14:textId="77777777" w:rsidR="007C5D1F" w:rsidRPr="002C1394" w:rsidRDefault="007C5D1F">
      <w:pPr>
        <w:rPr>
          <w:rFonts w:asciiTheme="majorBidi" w:hAnsiTheme="majorBidi" w:cstheme="majorBidi"/>
        </w:rPr>
      </w:pPr>
    </w:p>
    <w:sectPr w:rsidR="007C5D1F" w:rsidRPr="002C13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396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5383"/>
    <w:rsid w:val="00077352"/>
    <w:rsid w:val="00085383"/>
    <w:rsid w:val="0011029E"/>
    <w:rsid w:val="001F0FCB"/>
    <w:rsid w:val="00201FB4"/>
    <w:rsid w:val="002B1BFF"/>
    <w:rsid w:val="002C1394"/>
    <w:rsid w:val="002F386E"/>
    <w:rsid w:val="002F3F3A"/>
    <w:rsid w:val="003C1BEF"/>
    <w:rsid w:val="003D2490"/>
    <w:rsid w:val="00425AFB"/>
    <w:rsid w:val="0052052E"/>
    <w:rsid w:val="00617D8B"/>
    <w:rsid w:val="00664255"/>
    <w:rsid w:val="0072140A"/>
    <w:rsid w:val="007C5D1F"/>
    <w:rsid w:val="00935ABF"/>
    <w:rsid w:val="00F2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9504E"/>
  <w15:chartTrackingRefBased/>
  <w15:docId w15:val="{7436E2E5-6931-4E63-A0CB-B5E494142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53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53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53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53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53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53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53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53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53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53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53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53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53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53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53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53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53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53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53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53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53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53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53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53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53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53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53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53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538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C1BE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1B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D249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1883</Words>
  <Characters>1074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Inesa Baciuškienė</dc:creator>
  <cp:keywords/>
  <dc:description/>
  <cp:lastModifiedBy>Skirmantė Paukštienė</cp:lastModifiedBy>
  <cp:revision>6</cp:revision>
  <dcterms:created xsi:type="dcterms:W3CDTF">2026-08-14T08:00:00Z</dcterms:created>
  <dcterms:modified xsi:type="dcterms:W3CDTF">2026-08-18T10:22:00Z</dcterms:modified>
</cp:coreProperties>
</file>