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D2D2" w14:textId="77777777" w:rsidR="003D137B" w:rsidRPr="00E66331" w:rsidRDefault="003D137B" w:rsidP="00A955FA">
      <w:pPr>
        <w:spacing w:after="0"/>
        <w:jc w:val="center"/>
        <w:rPr>
          <w:rFonts w:asciiTheme="majorBidi" w:hAnsiTheme="majorBidi" w:cstheme="majorBidi"/>
          <w:b/>
          <w:sz w:val="24"/>
          <w:szCs w:val="24"/>
        </w:rPr>
      </w:pPr>
      <w:r w:rsidRPr="00E66331">
        <w:rPr>
          <w:rFonts w:asciiTheme="majorBidi" w:hAnsiTheme="majorBidi" w:cstheme="majorBidi"/>
          <w:b/>
          <w:sz w:val="24"/>
          <w:szCs w:val="24"/>
        </w:rPr>
        <w:t xml:space="preserve">DĖL ATLIKTO UAB „TETE-A-TETE“ KAZINO PLANINIO PATIKRINIMO </w:t>
      </w:r>
    </w:p>
    <w:p w14:paraId="412FA68B" w14:textId="77777777" w:rsidR="003D137B" w:rsidRPr="00E66331" w:rsidRDefault="003D137B" w:rsidP="00A955FA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E66331">
        <w:rPr>
          <w:rFonts w:asciiTheme="majorBidi" w:hAnsiTheme="majorBidi" w:cstheme="majorBidi"/>
          <w:b/>
          <w:sz w:val="24"/>
          <w:szCs w:val="24"/>
        </w:rPr>
        <w:t>PAGAL 2025 M. SAUSIO 29 D. PAVEDIMĄ PATIKRINTI NR. PT-9</w:t>
      </w:r>
    </w:p>
    <w:p w14:paraId="6AE21323" w14:textId="77777777" w:rsidR="00A779A5" w:rsidRDefault="00A779A5" w:rsidP="00A955FA">
      <w:pPr>
        <w:spacing w:after="0" w:line="240" w:lineRule="auto"/>
        <w:ind w:left="-142" w:right="-1"/>
        <w:jc w:val="both"/>
        <w:rPr>
          <w:rFonts w:asciiTheme="majorBidi" w:hAnsiTheme="majorBidi" w:cstheme="majorBidi"/>
          <w:sz w:val="24"/>
          <w:szCs w:val="24"/>
        </w:rPr>
      </w:pPr>
    </w:p>
    <w:p w14:paraId="0360E6CA" w14:textId="77777777" w:rsidR="003F750D" w:rsidRDefault="003F750D" w:rsidP="00A955FA">
      <w:pPr>
        <w:spacing w:after="0" w:line="240" w:lineRule="auto"/>
        <w:ind w:left="-142" w:right="-1"/>
        <w:rPr>
          <w:rFonts w:asciiTheme="majorBidi" w:hAnsiTheme="majorBidi" w:cstheme="majorBidi"/>
          <w:sz w:val="24"/>
          <w:szCs w:val="24"/>
        </w:rPr>
      </w:pPr>
    </w:p>
    <w:p w14:paraId="7818220F" w14:textId="6CE18FFB" w:rsidR="00627A28" w:rsidRDefault="00627A28" w:rsidP="00A955FA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</w:t>
      </w:r>
      <w:r w:rsidR="0093518E">
        <w:rPr>
          <w:rFonts w:asciiTheme="majorBidi" w:hAnsiTheme="majorBidi" w:cstheme="majorBidi"/>
          <w:sz w:val="24"/>
          <w:szCs w:val="24"/>
        </w:rPr>
        <w:t>L</w:t>
      </w:r>
      <w:r w:rsidR="0093518E" w:rsidRPr="0093518E">
        <w:rPr>
          <w:rFonts w:asciiTheme="majorBidi" w:hAnsiTheme="majorBidi" w:cstheme="majorBidi"/>
          <w:sz w:val="24"/>
          <w:szCs w:val="24"/>
        </w:rPr>
        <w:t xml:space="preserve">ošimų </w:t>
      </w:r>
      <w:r w:rsidR="0093518E" w:rsidRPr="00627A28">
        <w:rPr>
          <w:rFonts w:asciiTheme="majorBidi" w:hAnsiTheme="majorBidi" w:cstheme="majorBidi"/>
          <w:sz w:val="24"/>
          <w:szCs w:val="24"/>
        </w:rPr>
        <w:t>priežiūros tarnyb</w:t>
      </w:r>
      <w:r w:rsidR="004C7CBA" w:rsidRPr="00627A28">
        <w:rPr>
          <w:rFonts w:asciiTheme="majorBidi" w:hAnsiTheme="majorBidi" w:cstheme="majorBidi"/>
          <w:sz w:val="24"/>
          <w:szCs w:val="24"/>
        </w:rPr>
        <w:t>a</w:t>
      </w:r>
      <w:r w:rsidR="0093518E" w:rsidRPr="00627A28">
        <w:rPr>
          <w:rFonts w:asciiTheme="majorBidi" w:hAnsiTheme="majorBidi" w:cstheme="majorBidi"/>
          <w:sz w:val="24"/>
          <w:szCs w:val="24"/>
        </w:rPr>
        <w:t xml:space="preserve"> prie Lietuvos Respublikos finansų ministerijos (toliau – Priežiūros tarnyba) </w:t>
      </w:r>
      <w:r w:rsidR="004C7CBA" w:rsidRPr="00627A28">
        <w:rPr>
          <w:rFonts w:asciiTheme="majorBidi" w:hAnsiTheme="majorBidi" w:cstheme="majorBidi"/>
          <w:sz w:val="24"/>
          <w:szCs w:val="24"/>
        </w:rPr>
        <w:t>atlikusi</w:t>
      </w:r>
      <w:r w:rsidR="00A55F36" w:rsidRPr="00627A28">
        <w:rPr>
          <w:rFonts w:asciiTheme="majorBidi" w:hAnsiTheme="majorBidi" w:cstheme="majorBidi"/>
          <w:sz w:val="24"/>
          <w:szCs w:val="24"/>
        </w:rPr>
        <w:t xml:space="preserve"> </w:t>
      </w:r>
      <w:r w:rsidR="00047FC0" w:rsidRPr="00627A28">
        <w:rPr>
          <w:rFonts w:asciiTheme="majorBidi" w:hAnsiTheme="majorBidi" w:cstheme="majorBidi"/>
          <w:sz w:val="24"/>
          <w:szCs w:val="24"/>
        </w:rPr>
        <w:t xml:space="preserve">UAB </w:t>
      </w:r>
      <w:r w:rsidR="00B523E8" w:rsidRPr="00627A28">
        <w:rPr>
          <w:rFonts w:asciiTheme="majorBidi" w:hAnsiTheme="majorBidi" w:cstheme="majorBidi"/>
          <w:sz w:val="24"/>
          <w:szCs w:val="24"/>
        </w:rPr>
        <w:t>,,</w:t>
      </w:r>
      <w:proofErr w:type="spellStart"/>
      <w:r w:rsidR="00C4788C" w:rsidRPr="00627A28">
        <w:rPr>
          <w:rFonts w:asciiTheme="majorBidi" w:hAnsiTheme="majorBidi" w:cstheme="majorBidi"/>
          <w:sz w:val="24"/>
          <w:szCs w:val="24"/>
        </w:rPr>
        <w:t>Tete</w:t>
      </w:r>
      <w:proofErr w:type="spellEnd"/>
      <w:r w:rsidR="00C4788C" w:rsidRPr="00627A28">
        <w:rPr>
          <w:rFonts w:asciiTheme="majorBidi" w:hAnsiTheme="majorBidi" w:cstheme="majorBidi"/>
          <w:sz w:val="24"/>
          <w:szCs w:val="24"/>
        </w:rPr>
        <w:t>-a-</w:t>
      </w:r>
      <w:proofErr w:type="spellStart"/>
      <w:r w:rsidR="00C4788C" w:rsidRPr="00627A28">
        <w:rPr>
          <w:rFonts w:asciiTheme="majorBidi" w:hAnsiTheme="majorBidi" w:cstheme="majorBidi"/>
          <w:sz w:val="24"/>
          <w:szCs w:val="24"/>
        </w:rPr>
        <w:t>tete</w:t>
      </w:r>
      <w:proofErr w:type="spellEnd"/>
      <w:r w:rsidR="00B523E8" w:rsidRPr="00627A28">
        <w:rPr>
          <w:rFonts w:asciiTheme="majorBidi" w:hAnsiTheme="majorBidi" w:cstheme="majorBidi"/>
          <w:sz w:val="24"/>
          <w:szCs w:val="24"/>
        </w:rPr>
        <w:t>“</w:t>
      </w:r>
      <w:r w:rsidR="00047FC0" w:rsidRPr="00627A28">
        <w:rPr>
          <w:rFonts w:asciiTheme="majorBidi" w:hAnsiTheme="majorBidi" w:cstheme="majorBidi"/>
          <w:sz w:val="24"/>
          <w:szCs w:val="24"/>
        </w:rPr>
        <w:t xml:space="preserve"> </w:t>
      </w:r>
      <w:r w:rsidR="00C4788C" w:rsidRPr="00627A28">
        <w:rPr>
          <w:rFonts w:asciiTheme="majorBidi" w:hAnsiTheme="majorBidi" w:cstheme="majorBidi"/>
          <w:sz w:val="24"/>
          <w:szCs w:val="24"/>
        </w:rPr>
        <w:t xml:space="preserve">kazino </w:t>
      </w:r>
      <w:r w:rsidR="00B523E8" w:rsidRPr="00627A28">
        <w:rPr>
          <w:rFonts w:asciiTheme="majorBidi" w:hAnsiTheme="majorBidi" w:cstheme="majorBidi"/>
          <w:sz w:val="24"/>
          <w:szCs w:val="24"/>
        </w:rPr>
        <w:t xml:space="preserve">(toliau – </w:t>
      </w:r>
      <w:r w:rsidR="004C7CBA" w:rsidRPr="00627A28">
        <w:rPr>
          <w:rFonts w:asciiTheme="majorBidi" w:hAnsiTheme="majorBidi" w:cstheme="majorBidi"/>
          <w:sz w:val="24"/>
          <w:szCs w:val="24"/>
        </w:rPr>
        <w:t>Bendrovė</w:t>
      </w:r>
      <w:r w:rsidR="00B523E8" w:rsidRPr="00627A28">
        <w:rPr>
          <w:rFonts w:asciiTheme="majorBidi" w:hAnsiTheme="majorBidi" w:cstheme="majorBidi"/>
          <w:sz w:val="24"/>
          <w:szCs w:val="24"/>
        </w:rPr>
        <w:t>)</w:t>
      </w:r>
      <w:r w:rsidR="004C7CBA" w:rsidRPr="00627A28">
        <w:rPr>
          <w:rFonts w:asciiTheme="majorBidi" w:hAnsiTheme="majorBidi" w:cstheme="majorBidi"/>
          <w:sz w:val="24"/>
          <w:szCs w:val="24"/>
        </w:rPr>
        <w:t xml:space="preserve"> planinį patikrinimą, Priežiūros tarnybos direktoriaus </w:t>
      </w:r>
      <w:r w:rsidR="00047FC0" w:rsidRPr="00627A28">
        <w:rPr>
          <w:rFonts w:asciiTheme="majorBidi" w:hAnsiTheme="majorBidi" w:cstheme="majorBidi"/>
          <w:sz w:val="24"/>
          <w:szCs w:val="24"/>
        </w:rPr>
        <w:t>2026 m. sausio 2</w:t>
      </w:r>
      <w:r w:rsidR="007B71AA" w:rsidRPr="00627A28">
        <w:rPr>
          <w:rFonts w:asciiTheme="majorBidi" w:hAnsiTheme="majorBidi" w:cstheme="majorBidi"/>
          <w:sz w:val="24"/>
          <w:szCs w:val="24"/>
        </w:rPr>
        <w:t>9</w:t>
      </w:r>
      <w:r w:rsidR="00047FC0" w:rsidRPr="00627A28">
        <w:rPr>
          <w:rFonts w:asciiTheme="majorBidi" w:hAnsiTheme="majorBidi" w:cstheme="majorBidi"/>
          <w:sz w:val="24"/>
          <w:szCs w:val="24"/>
        </w:rPr>
        <w:t xml:space="preserve"> d. įsakymu Nr. DIE-</w:t>
      </w:r>
      <w:r w:rsidRPr="00627A28">
        <w:rPr>
          <w:rFonts w:asciiTheme="majorBidi" w:hAnsiTheme="majorBidi" w:cstheme="majorBidi"/>
          <w:sz w:val="24"/>
          <w:szCs w:val="24"/>
        </w:rPr>
        <w:t>22</w:t>
      </w:r>
      <w:r w:rsidR="00047FC0" w:rsidRPr="00627A28">
        <w:rPr>
          <w:rFonts w:asciiTheme="majorBidi" w:hAnsiTheme="majorBidi" w:cstheme="majorBidi"/>
          <w:sz w:val="24"/>
          <w:szCs w:val="24"/>
        </w:rPr>
        <w:t xml:space="preserve"> „</w:t>
      </w:r>
      <w:r>
        <w:rPr>
          <w:rFonts w:asciiTheme="majorBidi" w:hAnsiTheme="majorBidi" w:cstheme="majorBidi"/>
          <w:sz w:val="24"/>
          <w:szCs w:val="24"/>
        </w:rPr>
        <w:t>D</w:t>
      </w:r>
      <w:r w:rsidRPr="00627A28">
        <w:rPr>
          <w:rFonts w:asciiTheme="majorBidi" w:hAnsiTheme="majorBidi" w:cstheme="majorBidi"/>
          <w:sz w:val="24"/>
          <w:szCs w:val="24"/>
        </w:rPr>
        <w:t xml:space="preserve">ėl atlikto </w:t>
      </w:r>
      <w:r>
        <w:rPr>
          <w:rFonts w:asciiTheme="majorBidi" w:hAnsiTheme="majorBidi" w:cstheme="majorBidi"/>
          <w:sz w:val="24"/>
          <w:szCs w:val="24"/>
        </w:rPr>
        <w:t>UAB</w:t>
      </w:r>
      <w:r w:rsidRPr="00627A28">
        <w:rPr>
          <w:rFonts w:asciiTheme="majorBidi" w:hAnsiTheme="majorBidi" w:cstheme="majorBidi"/>
          <w:sz w:val="24"/>
          <w:szCs w:val="24"/>
        </w:rPr>
        <w:t xml:space="preserve"> „</w:t>
      </w:r>
      <w:proofErr w:type="spellStart"/>
      <w:r>
        <w:rPr>
          <w:rFonts w:asciiTheme="majorBidi" w:hAnsiTheme="majorBidi" w:cstheme="majorBidi"/>
          <w:sz w:val="24"/>
          <w:szCs w:val="24"/>
        </w:rPr>
        <w:t>T</w:t>
      </w:r>
      <w:r w:rsidRPr="00627A28">
        <w:rPr>
          <w:rFonts w:asciiTheme="majorBidi" w:hAnsiTheme="majorBidi" w:cstheme="majorBidi"/>
          <w:sz w:val="24"/>
          <w:szCs w:val="24"/>
        </w:rPr>
        <w:t>ete</w:t>
      </w:r>
      <w:proofErr w:type="spellEnd"/>
      <w:r w:rsidRPr="00627A28">
        <w:rPr>
          <w:rFonts w:asciiTheme="majorBidi" w:hAnsiTheme="majorBidi" w:cstheme="majorBidi"/>
          <w:sz w:val="24"/>
          <w:szCs w:val="24"/>
        </w:rPr>
        <w:t>-a-</w:t>
      </w:r>
      <w:proofErr w:type="spellStart"/>
      <w:r w:rsidRPr="00627A28">
        <w:rPr>
          <w:rFonts w:asciiTheme="majorBidi" w:hAnsiTheme="majorBidi" w:cstheme="majorBidi"/>
          <w:sz w:val="24"/>
          <w:szCs w:val="24"/>
        </w:rPr>
        <w:t>tete</w:t>
      </w:r>
      <w:proofErr w:type="spellEnd"/>
      <w:r w:rsidRPr="00627A28">
        <w:rPr>
          <w:rFonts w:asciiTheme="majorBidi" w:hAnsiTheme="majorBidi" w:cstheme="majorBidi"/>
          <w:sz w:val="24"/>
          <w:szCs w:val="24"/>
        </w:rPr>
        <w:t xml:space="preserve">“ kazino planinio patikrinimo pagal 2025 m. sausio 29 d. pavedimą patikrinti </w:t>
      </w:r>
      <w:r>
        <w:rPr>
          <w:rFonts w:asciiTheme="majorBidi" w:hAnsiTheme="majorBidi" w:cstheme="majorBidi"/>
          <w:sz w:val="24"/>
          <w:szCs w:val="24"/>
        </w:rPr>
        <w:t>N</w:t>
      </w:r>
      <w:r w:rsidRPr="00627A28">
        <w:rPr>
          <w:rFonts w:asciiTheme="majorBidi" w:hAnsiTheme="majorBidi" w:cstheme="majorBidi"/>
          <w:sz w:val="24"/>
          <w:szCs w:val="24"/>
        </w:rPr>
        <w:t xml:space="preserve">r. </w:t>
      </w:r>
      <w:r>
        <w:rPr>
          <w:rFonts w:asciiTheme="majorBidi" w:hAnsiTheme="majorBidi" w:cstheme="majorBidi"/>
          <w:sz w:val="24"/>
          <w:szCs w:val="24"/>
        </w:rPr>
        <w:t>PT</w:t>
      </w:r>
      <w:r w:rsidRPr="00627A28">
        <w:rPr>
          <w:rFonts w:asciiTheme="majorBidi" w:hAnsiTheme="majorBidi" w:cstheme="majorBidi"/>
          <w:sz w:val="24"/>
          <w:szCs w:val="24"/>
        </w:rPr>
        <w:t>-9</w:t>
      </w:r>
      <w:r>
        <w:rPr>
          <w:rFonts w:asciiTheme="majorBidi" w:hAnsiTheme="majorBidi" w:cstheme="majorBidi"/>
          <w:sz w:val="24"/>
          <w:szCs w:val="24"/>
        </w:rPr>
        <w:t>“ konstatavo, kad:</w:t>
      </w:r>
    </w:p>
    <w:p w14:paraId="349B7629" w14:textId="0E3453CC" w:rsidR="00627A28" w:rsidRDefault="008E2FA1" w:rsidP="00A955FA">
      <w:pPr>
        <w:pStyle w:val="ListParagraph"/>
        <w:numPr>
          <w:ilvl w:val="0"/>
          <w:numId w:val="1"/>
        </w:numPr>
        <w:spacing w:after="0"/>
        <w:ind w:left="0" w:firstLine="491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Į</w:t>
      </w:r>
      <w:r w:rsidR="00314580" w:rsidRPr="2E383663">
        <w:rPr>
          <w:rFonts w:asciiTheme="majorBidi" w:hAnsiTheme="majorBidi" w:cstheme="majorBidi"/>
          <w:sz w:val="24"/>
          <w:szCs w:val="24"/>
        </w:rPr>
        <w:t xml:space="preserve"> Bendrovės lošimo automatų saloną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314580" w:rsidRPr="2E383663">
        <w:rPr>
          <w:rFonts w:asciiTheme="majorBidi" w:hAnsiTheme="majorBidi" w:cstheme="majorBidi"/>
          <w:sz w:val="24"/>
          <w:szCs w:val="24"/>
        </w:rPr>
        <w:t>Bendrovės darbuotojai įleidus asmenį ir leidus jam būti lošimo automatų salone, neprašant jo pateikti</w:t>
      </w:r>
      <w:r w:rsidR="00314580" w:rsidRPr="2E383663">
        <w:rPr>
          <w:rFonts w:asciiTheme="majorBidi" w:hAnsiTheme="majorBidi" w:cstheme="majorBidi"/>
          <w:sz w:val="24"/>
          <w:szCs w:val="24"/>
          <w:lang w:eastAsia="lt-LT"/>
        </w:rPr>
        <w:t xml:space="preserve"> asmens tapatybę patvirtinančio dokumento, tačiau patikrinant jo tapatybę pagal Bendrovės </w:t>
      </w:r>
      <w:r w:rsidR="00314580" w:rsidRPr="2E383663">
        <w:rPr>
          <w:rFonts w:asciiTheme="majorBidi" w:hAnsiTheme="majorBidi" w:cstheme="majorBidi"/>
          <w:sz w:val="24"/>
          <w:szCs w:val="24"/>
        </w:rPr>
        <w:t>duomenų kontrolės ir valdymo sistemoje jau esamus duomenis (paso kopij</w:t>
      </w:r>
      <w:r w:rsidR="005A09D8">
        <w:rPr>
          <w:rFonts w:asciiTheme="majorBidi" w:hAnsiTheme="majorBidi" w:cstheme="majorBidi"/>
          <w:sz w:val="24"/>
          <w:szCs w:val="24"/>
        </w:rPr>
        <w:t>ą</w:t>
      </w:r>
      <w:r w:rsidR="00314580" w:rsidRPr="2E383663">
        <w:rPr>
          <w:rFonts w:asciiTheme="majorBidi" w:hAnsiTheme="majorBidi" w:cstheme="majorBidi"/>
          <w:sz w:val="24"/>
          <w:szCs w:val="24"/>
        </w:rPr>
        <w:t>),</w:t>
      </w:r>
      <w:r w:rsidR="00314580" w:rsidRPr="2E383663">
        <w:rPr>
          <w:rFonts w:asciiTheme="majorBidi" w:hAnsiTheme="majorBidi" w:cstheme="majorBidi"/>
          <w:sz w:val="24"/>
          <w:szCs w:val="24"/>
          <w:lang w:eastAsia="lt-LT"/>
        </w:rPr>
        <w:t xml:space="preserve"> </w:t>
      </w:r>
      <w:r w:rsidR="00314580" w:rsidRPr="2E383663">
        <w:rPr>
          <w:rFonts w:asciiTheme="majorBidi" w:hAnsiTheme="majorBidi" w:cstheme="majorBidi"/>
          <w:sz w:val="24"/>
          <w:szCs w:val="24"/>
        </w:rPr>
        <w:t xml:space="preserve">Bendrovė nepažeidė </w:t>
      </w:r>
      <w:r w:rsidR="00D25348">
        <w:rPr>
          <w:rFonts w:asciiTheme="majorBidi" w:hAnsiTheme="majorBidi" w:cstheme="majorBidi"/>
          <w:iCs/>
          <w:color w:val="000000"/>
          <w:sz w:val="24"/>
          <w:szCs w:val="24"/>
        </w:rPr>
        <w:t>Lietuvos Respublikos azartinių lošimų įstatymo</w:t>
      </w:r>
      <w:r w:rsidR="00D25348" w:rsidRPr="00E66331">
        <w:rPr>
          <w:rFonts w:asciiTheme="majorBidi" w:hAnsiTheme="majorBidi" w:cstheme="majorBidi"/>
          <w:iCs/>
          <w:color w:val="000000"/>
          <w:sz w:val="24"/>
          <w:szCs w:val="24"/>
        </w:rPr>
        <w:t xml:space="preserve"> </w:t>
      </w:r>
      <w:r w:rsidR="00387CD4">
        <w:rPr>
          <w:rFonts w:asciiTheme="majorBidi" w:hAnsiTheme="majorBidi" w:cstheme="majorBidi"/>
          <w:iCs/>
          <w:color w:val="000000"/>
          <w:sz w:val="24"/>
          <w:szCs w:val="24"/>
        </w:rPr>
        <w:t xml:space="preserve">(toliau – ALĮ) </w:t>
      </w:r>
      <w:r w:rsidR="00314580" w:rsidRPr="2E383663">
        <w:rPr>
          <w:rFonts w:asciiTheme="majorBidi" w:hAnsiTheme="majorBidi" w:cstheme="majorBidi"/>
          <w:sz w:val="24"/>
          <w:szCs w:val="24"/>
        </w:rPr>
        <w:t>10 straipsnio 10 dalies ir 20 straipsnio 1 dalies</w:t>
      </w:r>
      <w:r w:rsidR="00314580" w:rsidRPr="2E38366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314580" w:rsidRPr="2E383663">
        <w:rPr>
          <w:rFonts w:asciiTheme="majorBidi" w:hAnsiTheme="majorBidi" w:cstheme="majorBidi"/>
          <w:sz w:val="24"/>
          <w:szCs w:val="24"/>
        </w:rPr>
        <w:t>reikalavimų.</w:t>
      </w:r>
      <w:r w:rsidR="00724D60">
        <w:rPr>
          <w:rFonts w:asciiTheme="majorBidi" w:hAnsiTheme="majorBidi" w:cstheme="majorBidi"/>
          <w:sz w:val="24"/>
          <w:szCs w:val="24"/>
        </w:rPr>
        <w:t xml:space="preserve"> </w:t>
      </w:r>
    </w:p>
    <w:p w14:paraId="5B5DE46F" w14:textId="42DF474D" w:rsidR="002138D8" w:rsidRDefault="00A955FA" w:rsidP="00A955FA">
      <w:pPr>
        <w:spacing w:after="0"/>
        <w:ind w:right="5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</w:t>
      </w:r>
      <w:r w:rsidR="00A553E9" w:rsidRPr="00E66331">
        <w:rPr>
          <w:rFonts w:asciiTheme="majorBidi" w:hAnsiTheme="majorBidi" w:cstheme="majorBidi"/>
          <w:sz w:val="24"/>
          <w:szCs w:val="24"/>
        </w:rPr>
        <w:t>Bendrov</w:t>
      </w:r>
      <w:r w:rsidR="009A574B">
        <w:rPr>
          <w:rFonts w:asciiTheme="majorBidi" w:hAnsiTheme="majorBidi" w:cstheme="majorBidi"/>
          <w:sz w:val="24"/>
          <w:szCs w:val="24"/>
        </w:rPr>
        <w:t>ei</w:t>
      </w:r>
      <w:r w:rsidR="00A553E9" w:rsidRPr="00E66331">
        <w:rPr>
          <w:rFonts w:asciiTheme="majorBidi" w:hAnsiTheme="majorBidi" w:cstheme="majorBidi"/>
          <w:sz w:val="24"/>
          <w:szCs w:val="24"/>
        </w:rPr>
        <w:t xml:space="preserve"> pateik</w:t>
      </w:r>
      <w:r w:rsidR="009A574B">
        <w:rPr>
          <w:rFonts w:asciiTheme="majorBidi" w:hAnsiTheme="majorBidi" w:cstheme="majorBidi"/>
          <w:sz w:val="24"/>
          <w:szCs w:val="24"/>
        </w:rPr>
        <w:t>us</w:t>
      </w:r>
      <w:r w:rsidR="00A553E9" w:rsidRPr="00E66331">
        <w:rPr>
          <w:rFonts w:asciiTheme="majorBidi" w:hAnsiTheme="majorBidi" w:cstheme="majorBidi"/>
          <w:sz w:val="24"/>
          <w:szCs w:val="24"/>
        </w:rPr>
        <w:t xml:space="preserve"> išrašą iš Bendrovės naudojamos duomenų bazės</w:t>
      </w:r>
      <w:r w:rsidR="009A574B">
        <w:rPr>
          <w:rFonts w:asciiTheme="majorBidi" w:hAnsiTheme="majorBidi" w:cstheme="majorBidi"/>
          <w:sz w:val="24"/>
          <w:szCs w:val="24"/>
        </w:rPr>
        <w:t xml:space="preserve"> nustatyta</w:t>
      </w:r>
      <w:r w:rsidR="00A553E9" w:rsidRPr="00E66331">
        <w:rPr>
          <w:rFonts w:asciiTheme="majorBidi" w:hAnsiTheme="majorBidi" w:cstheme="majorBidi"/>
          <w:sz w:val="24"/>
          <w:szCs w:val="24"/>
        </w:rPr>
        <w:t>, kad kliento, kuris įėjo į Bendrovės automatų saloną</w:t>
      </w:r>
      <w:r w:rsidR="009A574B">
        <w:rPr>
          <w:rFonts w:asciiTheme="majorBidi" w:hAnsiTheme="majorBidi" w:cstheme="majorBidi"/>
          <w:sz w:val="24"/>
          <w:szCs w:val="24"/>
        </w:rPr>
        <w:t xml:space="preserve">, </w:t>
      </w:r>
      <w:r w:rsidR="00A553E9" w:rsidRPr="00E66331">
        <w:rPr>
          <w:rFonts w:asciiTheme="majorBidi" w:hAnsiTheme="majorBidi" w:cstheme="majorBidi"/>
          <w:bCs/>
          <w:iCs/>
          <w:sz w:val="24"/>
          <w:szCs w:val="24"/>
        </w:rPr>
        <w:t xml:space="preserve">Bendrovės darbuotojai nepaprašius jo pateikti asmens tapatybę patvirtinantį dokumentą, paso kopija Bendrovės duomenų bazėje saugoma </w:t>
      </w:r>
      <w:r w:rsidR="00A006F5">
        <w:rPr>
          <w:rFonts w:asciiTheme="majorBidi" w:hAnsiTheme="majorBidi" w:cstheme="majorBidi"/>
          <w:bCs/>
          <w:iCs/>
          <w:sz w:val="24"/>
          <w:szCs w:val="24"/>
        </w:rPr>
        <w:t>iš an</w:t>
      </w:r>
      <w:r w:rsidR="002A001C">
        <w:rPr>
          <w:rFonts w:asciiTheme="majorBidi" w:hAnsiTheme="majorBidi" w:cstheme="majorBidi"/>
          <w:bCs/>
          <w:iCs/>
          <w:sz w:val="24"/>
          <w:szCs w:val="24"/>
        </w:rPr>
        <w:t>ks</w:t>
      </w:r>
      <w:r w:rsidR="00A006F5">
        <w:rPr>
          <w:rFonts w:asciiTheme="majorBidi" w:hAnsiTheme="majorBidi" w:cstheme="majorBidi"/>
          <w:bCs/>
          <w:iCs/>
          <w:sz w:val="24"/>
          <w:szCs w:val="24"/>
        </w:rPr>
        <w:t>čiau</w:t>
      </w:r>
      <w:r w:rsidR="002138D8">
        <w:rPr>
          <w:rFonts w:asciiTheme="majorBidi" w:hAnsiTheme="majorBidi" w:cstheme="majorBidi"/>
          <w:bCs/>
          <w:iCs/>
          <w:sz w:val="24"/>
          <w:szCs w:val="24"/>
        </w:rPr>
        <w:t xml:space="preserve">, todėl </w:t>
      </w:r>
      <w:r w:rsidR="002138D8" w:rsidRPr="00E66331">
        <w:rPr>
          <w:rFonts w:asciiTheme="majorBidi" w:hAnsiTheme="majorBidi" w:cstheme="majorBidi"/>
          <w:sz w:val="24"/>
          <w:szCs w:val="24"/>
        </w:rPr>
        <w:t>Bendrovės darbuotoja galėjo patikrinti į automatų saloną</w:t>
      </w:r>
      <w:r w:rsidR="002138D8">
        <w:rPr>
          <w:rFonts w:asciiTheme="majorBidi" w:hAnsiTheme="majorBidi" w:cstheme="majorBidi"/>
          <w:sz w:val="24"/>
          <w:szCs w:val="24"/>
        </w:rPr>
        <w:t xml:space="preserve"> </w:t>
      </w:r>
      <w:r w:rsidR="002138D8" w:rsidRPr="00E66331">
        <w:rPr>
          <w:rFonts w:asciiTheme="majorBidi" w:hAnsiTheme="majorBidi" w:cstheme="majorBidi"/>
          <w:sz w:val="24"/>
          <w:szCs w:val="24"/>
        </w:rPr>
        <w:t>įėjusio asmens tapatybę ir neprašydama jo fiziškai pateikti asmens tapatybės dokumento, o naudodamasi Bendrovės duomenų kontrolės ir valdymo sistemoje jau esamais duomenimis.</w:t>
      </w:r>
      <w:bookmarkStart w:id="0" w:name="pn1_2203"/>
      <w:bookmarkStart w:id="1" w:name="ne25653c6-ddbe-406d-b493-e76cf9983b1d"/>
      <w:bookmarkStart w:id="2" w:name="pne25653c6-ddbe-406d-b493-e76cf9983b1d"/>
      <w:bookmarkStart w:id="3" w:name="n86042318-3b45-41e1-b88b-dddcb089c96a"/>
      <w:bookmarkStart w:id="4" w:name="pn86042318-3b45-41e1-b88b-dddcb089c96a"/>
      <w:bookmarkStart w:id="5" w:name="nc25befb7-8b14-4e03-a750-f335af6a19b5"/>
      <w:bookmarkStart w:id="6" w:name="pnc25befb7-8b14-4e03-a750-f335af6a19b5"/>
      <w:bookmarkStart w:id="7" w:name="nafb96aa3-a7b2-4ba6-9516-68f2cdbc5d23"/>
      <w:bookmarkStart w:id="8" w:name="pnafb96aa3-a7b2-4ba6-9516-68f2cdbc5d23"/>
      <w:bookmarkStart w:id="9" w:name="n40af4f1d-d958-4036-b1c4-8b25625590f7"/>
      <w:bookmarkStart w:id="10" w:name="pn40af4f1d-d958-4036-b1c4-8b25625590f7"/>
      <w:bookmarkStart w:id="11" w:name="nf7aabba4-e363-4782-8739-47fc12a0d297"/>
      <w:bookmarkStart w:id="12" w:name="pnf7aabba4-e363-4782-8739-47fc12a0d297"/>
      <w:bookmarkStart w:id="13" w:name="n207c866c-8e48-41c6-b5b2-d8b4a45fc60e"/>
      <w:bookmarkStart w:id="14" w:name="pn207c866c-8e48-41c6-b5b2-d8b4a45fc60e"/>
      <w:bookmarkStart w:id="15" w:name="n8d9b8348-2ad9-4296-940c-348e1575c51f"/>
      <w:bookmarkStart w:id="16" w:name="pn8d9b8348-2ad9-4296-940c-348e1575c51f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7B1416B8" w14:textId="0F7F3A94" w:rsidR="004E39CF" w:rsidRPr="0050316E" w:rsidRDefault="004E39CF" w:rsidP="00A955FA">
      <w:pPr>
        <w:pStyle w:val="ListParagraph"/>
        <w:widowControl w:val="0"/>
        <w:numPr>
          <w:ilvl w:val="0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/>
        <w:ind w:left="0" w:firstLine="633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4E39CF">
        <w:rPr>
          <w:rFonts w:asciiTheme="majorBidi" w:hAnsiTheme="majorBidi" w:cstheme="majorBidi"/>
          <w:sz w:val="24"/>
          <w:szCs w:val="24"/>
        </w:rPr>
        <w:t>Bendrovė</w:t>
      </w:r>
      <w:r w:rsidR="0095058B">
        <w:rPr>
          <w:rFonts w:asciiTheme="majorBidi" w:hAnsiTheme="majorBidi" w:cstheme="majorBidi"/>
          <w:sz w:val="24"/>
          <w:szCs w:val="24"/>
        </w:rPr>
        <w:t>,</w:t>
      </w:r>
      <w:r w:rsidRPr="004E39CF">
        <w:rPr>
          <w:rFonts w:asciiTheme="majorBidi" w:hAnsiTheme="majorBidi" w:cstheme="majorBidi"/>
          <w:sz w:val="24"/>
          <w:szCs w:val="24"/>
        </w:rPr>
        <w:t xml:space="preserve"> nuomodamasi lošimo automatų salono patalpas iš </w:t>
      </w:r>
      <w:r>
        <w:rPr>
          <w:rFonts w:asciiTheme="majorBidi" w:hAnsiTheme="majorBidi" w:cstheme="majorBidi"/>
          <w:sz w:val="24"/>
          <w:szCs w:val="24"/>
        </w:rPr>
        <w:t>įmon</w:t>
      </w:r>
      <w:r w:rsidR="0095058B">
        <w:rPr>
          <w:rFonts w:asciiTheme="majorBidi" w:hAnsiTheme="majorBidi" w:cstheme="majorBidi"/>
          <w:sz w:val="24"/>
          <w:szCs w:val="24"/>
        </w:rPr>
        <w:t>ės, kuri neatitiko ALĮ 11 straip</w:t>
      </w:r>
      <w:r w:rsidR="0050316E">
        <w:rPr>
          <w:rFonts w:asciiTheme="majorBidi" w:hAnsiTheme="majorBidi" w:cstheme="majorBidi"/>
          <w:sz w:val="24"/>
          <w:szCs w:val="24"/>
        </w:rPr>
        <w:t>sn</w:t>
      </w:r>
      <w:r w:rsidR="00C36B35">
        <w:rPr>
          <w:rFonts w:asciiTheme="majorBidi" w:hAnsiTheme="majorBidi" w:cstheme="majorBidi"/>
          <w:sz w:val="24"/>
          <w:szCs w:val="24"/>
        </w:rPr>
        <w:t>io 2 dalyje</w:t>
      </w:r>
      <w:r w:rsidR="0050316E">
        <w:rPr>
          <w:rFonts w:asciiTheme="majorBidi" w:hAnsiTheme="majorBidi" w:cstheme="majorBidi"/>
          <w:sz w:val="24"/>
          <w:szCs w:val="24"/>
        </w:rPr>
        <w:t xml:space="preserve"> nustatyto nepriekaištingos reputacijos reikalavimo</w:t>
      </w:r>
      <w:r w:rsidRPr="004E39CF">
        <w:rPr>
          <w:rFonts w:asciiTheme="majorBidi" w:hAnsiTheme="majorBidi" w:cstheme="majorBidi"/>
          <w:sz w:val="24"/>
          <w:szCs w:val="24"/>
        </w:rPr>
        <w:t>,  nepažeidė ALĮ 11 straipsnio 2 dalies</w:t>
      </w:r>
      <w:r w:rsidR="0050316E">
        <w:rPr>
          <w:rFonts w:asciiTheme="majorBidi" w:hAnsiTheme="majorBidi" w:cstheme="majorBidi"/>
          <w:sz w:val="24"/>
          <w:szCs w:val="24"/>
        </w:rPr>
        <w:t>.</w:t>
      </w:r>
    </w:p>
    <w:p w14:paraId="6F27615C" w14:textId="43DDC813" w:rsidR="00627A28" w:rsidRPr="00F505A9" w:rsidRDefault="00C36B35" w:rsidP="00F505A9">
      <w:pPr>
        <w:tabs>
          <w:tab w:val="left" w:pos="709"/>
          <w:tab w:val="left" w:pos="851"/>
        </w:tabs>
        <w:spacing w:after="0"/>
        <w:ind w:right="54"/>
        <w:jc w:val="both"/>
        <w:rPr>
          <w:rFonts w:asciiTheme="majorBidi" w:hAnsiTheme="majorBidi" w:cstheme="majorBidi"/>
          <w:spacing w:val="1"/>
          <w:sz w:val="24"/>
          <w:szCs w:val="24"/>
          <w:lang w:eastAsia="lt-LT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</w:t>
      </w:r>
      <w:r w:rsidR="00987AFC">
        <w:rPr>
          <w:rFonts w:asciiTheme="majorBidi" w:hAnsiTheme="majorBidi" w:cstheme="majorBidi"/>
          <w:sz w:val="24"/>
          <w:szCs w:val="24"/>
        </w:rPr>
        <w:t xml:space="preserve">Nustatyta, kad </w:t>
      </w:r>
      <w:r w:rsidR="00987AFC" w:rsidRPr="00987AFC">
        <w:rPr>
          <w:rFonts w:asciiTheme="majorBidi" w:hAnsiTheme="majorBidi" w:cstheme="majorBidi"/>
          <w:sz w:val="24"/>
          <w:szCs w:val="24"/>
        </w:rPr>
        <w:t>sutartį</w:t>
      </w:r>
      <w:r>
        <w:rPr>
          <w:rFonts w:asciiTheme="majorBidi" w:hAnsiTheme="majorBidi" w:cstheme="majorBidi"/>
          <w:sz w:val="24"/>
          <w:szCs w:val="24"/>
        </w:rPr>
        <w:t xml:space="preserve"> dėl patalpų nuomos</w:t>
      </w:r>
      <w:r w:rsidR="00987AFC" w:rsidRPr="00987AFC">
        <w:rPr>
          <w:rFonts w:asciiTheme="majorBidi" w:hAnsiTheme="majorBidi" w:cstheme="majorBidi"/>
          <w:sz w:val="24"/>
          <w:szCs w:val="24"/>
        </w:rPr>
        <w:t xml:space="preserve"> su </w:t>
      </w:r>
      <w:r w:rsidR="00987AFC">
        <w:rPr>
          <w:rFonts w:asciiTheme="majorBidi" w:hAnsiTheme="majorBidi" w:cstheme="majorBidi"/>
          <w:sz w:val="24"/>
          <w:szCs w:val="24"/>
        </w:rPr>
        <w:t>įmone</w:t>
      </w:r>
      <w:r w:rsidR="00987AFC" w:rsidRPr="00987AFC">
        <w:rPr>
          <w:rFonts w:asciiTheme="majorBidi" w:hAnsiTheme="majorBidi" w:cstheme="majorBidi"/>
          <w:sz w:val="24"/>
          <w:szCs w:val="24"/>
        </w:rPr>
        <w:t xml:space="preserve"> Bendrovė sudarė 2005 m. liepos 28 d. 2024 m. balandžio 18 d. Lietuvos Respublikos azartinių lošimų įstatymo Nr. IX- 325 2, 6, 7</w:t>
      </w:r>
      <w:r w:rsidR="00987AFC" w:rsidRPr="00987AFC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="00987AFC" w:rsidRPr="00987AFC">
        <w:rPr>
          <w:rFonts w:asciiTheme="majorBidi" w:hAnsiTheme="majorBidi" w:cstheme="majorBidi"/>
          <w:sz w:val="24"/>
          <w:szCs w:val="24"/>
        </w:rPr>
        <w:t>, 7</w:t>
      </w:r>
      <w:r w:rsidR="00987AFC" w:rsidRPr="00987AFC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="00987AFC" w:rsidRPr="00987AFC">
        <w:rPr>
          <w:rFonts w:asciiTheme="majorBidi" w:hAnsiTheme="majorBidi" w:cstheme="majorBidi"/>
          <w:sz w:val="24"/>
          <w:szCs w:val="24"/>
        </w:rPr>
        <w:t>, 7</w:t>
      </w:r>
      <w:r w:rsidR="00987AFC" w:rsidRPr="00987AFC">
        <w:rPr>
          <w:rFonts w:asciiTheme="majorBidi" w:hAnsiTheme="majorBidi" w:cstheme="majorBidi"/>
          <w:sz w:val="24"/>
          <w:szCs w:val="24"/>
          <w:vertAlign w:val="superscript"/>
        </w:rPr>
        <w:t>3</w:t>
      </w:r>
      <w:r w:rsidR="00987AFC" w:rsidRPr="00987AFC">
        <w:rPr>
          <w:rFonts w:asciiTheme="majorBidi" w:hAnsiTheme="majorBidi" w:cstheme="majorBidi"/>
          <w:sz w:val="24"/>
          <w:szCs w:val="24"/>
        </w:rPr>
        <w:t>, 11, 22, 29</w:t>
      </w:r>
      <w:r w:rsidR="00987AFC" w:rsidRPr="00987AFC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="00987AFC" w:rsidRPr="00987AFC">
        <w:rPr>
          <w:rFonts w:asciiTheme="majorBidi" w:hAnsiTheme="majorBidi" w:cstheme="majorBidi"/>
          <w:sz w:val="24"/>
          <w:szCs w:val="24"/>
        </w:rPr>
        <w:t xml:space="preserve"> straipsnių pakeitimo ir įstatymo papildymo 7</w:t>
      </w:r>
      <w:r w:rsidR="00987AFC" w:rsidRPr="00987AFC">
        <w:rPr>
          <w:rFonts w:asciiTheme="majorBidi" w:hAnsiTheme="majorBidi" w:cstheme="majorBidi"/>
          <w:sz w:val="24"/>
          <w:szCs w:val="24"/>
          <w:vertAlign w:val="superscript"/>
        </w:rPr>
        <w:t>4</w:t>
      </w:r>
      <w:r w:rsidR="00987AFC" w:rsidRPr="00987AFC">
        <w:rPr>
          <w:rFonts w:asciiTheme="majorBidi" w:hAnsiTheme="majorBidi" w:cstheme="majorBidi"/>
          <w:sz w:val="24"/>
          <w:szCs w:val="24"/>
        </w:rPr>
        <w:t xml:space="preserve"> straipsniu įstatymas, kuriuo ALĮ papildytas nuostatomis, nustatančiomis nepriekaištingos reputacijos reikalavimus asmenims, kuriuos lošimų organizatorius pasitelkia lošimų veiklos leidime nurodomai lošimų organizavimo veiklai vykdyti, įsigaliojo 2024 m. lapkričio 1 d. (toliau – Pakeitimo įstatymas). Pakeitimo įstatymo 10 straipsnio, reglamentuojančio šio įstatymo įsigaliojimo, įgyvendinimo ir taikymo tvarką,  4 dalis įpareigojo lošimų organizatorius, tarp jų ir Bendrovę, </w:t>
      </w:r>
      <w:r w:rsidR="00987AFC" w:rsidRPr="00987AFC">
        <w:rPr>
          <w:rFonts w:asciiTheme="majorBidi" w:hAnsiTheme="majorBidi" w:cstheme="majorBidi"/>
          <w:color w:val="000000" w:themeColor="text1"/>
          <w:sz w:val="24"/>
          <w:szCs w:val="24"/>
        </w:rPr>
        <w:t>ne vėliau kaip iki 2025 m. gegužės 1 d. Priežiūros tarnybai pateikti duomenis apie asmenis, pasitelktus lošimų veiklos leidime nurodomai lošimų organizavimo veiklai vykdyti, o Priežiūros tarnyba, gavusi minėtą informaciją, Pakeitimo įstatymo 10 straipsnio 4 dalimi įpareigota atlikti ALĮ 7</w:t>
      </w:r>
      <w:r w:rsidR="00987AFC" w:rsidRPr="00987AFC"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</w:rPr>
        <w:t>4</w:t>
      </w:r>
      <w:r w:rsidR="00987AFC" w:rsidRPr="00987AF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straipsnio 10 dalyje nurodytus veiksmus, t. y. kreiptis į kompetentingas institucijas dėl išvadų ir informacijos apie </w:t>
      </w:r>
      <w:r w:rsidR="00987AFC" w:rsidRPr="00987AFC">
        <w:rPr>
          <w:rFonts w:asciiTheme="majorBidi" w:hAnsiTheme="majorBidi" w:cstheme="majorBidi"/>
          <w:sz w:val="24"/>
          <w:szCs w:val="24"/>
        </w:rPr>
        <w:t>ALĮ 6 straipsnio 1 dalies 3</w:t>
      </w:r>
      <w:r w:rsidR="00987AFC" w:rsidRPr="00987AFC">
        <w:rPr>
          <w:rFonts w:asciiTheme="majorBidi" w:hAnsiTheme="majorBidi" w:cstheme="majorBidi"/>
          <w:sz w:val="24"/>
          <w:szCs w:val="24"/>
          <w:vertAlign w:val="superscript"/>
        </w:rPr>
        <w:t xml:space="preserve">2 </w:t>
      </w:r>
      <w:r w:rsidR="00987AFC" w:rsidRPr="00987AFC">
        <w:rPr>
          <w:rFonts w:asciiTheme="majorBidi" w:hAnsiTheme="majorBidi" w:cstheme="majorBidi"/>
          <w:sz w:val="24"/>
          <w:szCs w:val="24"/>
        </w:rPr>
        <w:t>punkte nurodytus asmenis gavimo.</w:t>
      </w:r>
      <w:r w:rsidR="00987AFC" w:rsidRPr="00987AF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987AFC" w:rsidRPr="00987AFC">
        <w:rPr>
          <w:rFonts w:asciiTheme="majorBidi" w:hAnsiTheme="majorBidi" w:cstheme="majorBidi"/>
          <w:sz w:val="24"/>
          <w:szCs w:val="24"/>
        </w:rPr>
        <w:t>Nagrinėjamu atveju</w:t>
      </w:r>
      <w:r w:rsidR="00987AFC" w:rsidRPr="00987AF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Bendrovė įvykdė Pakeitimo įstatymo 10 straipsnio 4 dalyje jai nustatytą pareigą</w:t>
      </w:r>
      <w:r w:rsidR="00912F6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="00987AFC" w:rsidRPr="00987AFC">
        <w:rPr>
          <w:rFonts w:asciiTheme="majorBidi" w:hAnsiTheme="majorBidi" w:cstheme="majorBidi"/>
          <w:sz w:val="24"/>
          <w:szCs w:val="24"/>
        </w:rPr>
        <w:t>Priežiūros tarnybai pateikdama informaciją apie ALĮ 6 straipsnio 1 dalies 3</w:t>
      </w:r>
      <w:r w:rsidR="00987AFC" w:rsidRPr="00987AFC">
        <w:rPr>
          <w:rFonts w:asciiTheme="majorBidi" w:hAnsiTheme="majorBidi" w:cstheme="majorBidi"/>
          <w:sz w:val="24"/>
          <w:szCs w:val="24"/>
          <w:vertAlign w:val="superscript"/>
        </w:rPr>
        <w:t xml:space="preserve">2 </w:t>
      </w:r>
      <w:r w:rsidR="00987AFC" w:rsidRPr="00987AFC">
        <w:rPr>
          <w:rFonts w:asciiTheme="majorBidi" w:hAnsiTheme="majorBidi" w:cstheme="majorBidi"/>
          <w:sz w:val="24"/>
          <w:szCs w:val="24"/>
        </w:rPr>
        <w:t>punkte nurodytus asmenis.  Be to, P</w:t>
      </w:r>
      <w:r w:rsidR="00987AFC" w:rsidRPr="00987AFC">
        <w:rPr>
          <w:rFonts w:asciiTheme="majorBidi" w:hAnsiTheme="majorBidi" w:cstheme="majorBidi"/>
          <w:color w:val="000000" w:themeColor="text1"/>
          <w:sz w:val="24"/>
          <w:szCs w:val="24"/>
        </w:rPr>
        <w:t>akeitimo įstatymo 10 straipsnio 5 dalyje numatyta galimybė taikyti poveikio priemonę lošimų organizatoriams įstatymo įgyvendinimo etape tik už minėtų duomenų nepateikimą ar  ne visų duomenų pateikimą</w:t>
      </w:r>
      <w:r w:rsidR="00987AFC" w:rsidRPr="00987AFC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r w:rsidR="00463412">
        <w:rPr>
          <w:rFonts w:asciiTheme="majorBidi" w:hAnsiTheme="majorBidi" w:cstheme="majorBidi"/>
          <w:color w:val="000000"/>
          <w:sz w:val="24"/>
          <w:szCs w:val="24"/>
        </w:rPr>
        <w:t xml:space="preserve">todėl konstatuota, </w:t>
      </w:r>
      <w:r w:rsidR="00987AFC" w:rsidRPr="00987AFC">
        <w:rPr>
          <w:rFonts w:asciiTheme="majorBidi" w:hAnsiTheme="majorBidi" w:cstheme="majorBidi"/>
          <w:color w:val="000000"/>
          <w:sz w:val="24"/>
          <w:szCs w:val="24"/>
        </w:rPr>
        <w:t xml:space="preserve">kad </w:t>
      </w:r>
      <w:r w:rsidR="00987AFC" w:rsidRPr="00987AFC">
        <w:rPr>
          <w:rFonts w:asciiTheme="majorBidi" w:hAnsiTheme="majorBidi" w:cstheme="majorBidi"/>
          <w:sz w:val="24"/>
          <w:szCs w:val="24"/>
        </w:rPr>
        <w:t xml:space="preserve">Bendrovė nuo 2025 m. balandžio 17 d. iki 2025 m. rugpjūčio 11 d., nuomodamasi lošimo automatų salono patalpas, iš </w:t>
      </w:r>
      <w:r w:rsidR="00463412">
        <w:rPr>
          <w:rFonts w:asciiTheme="majorBidi" w:hAnsiTheme="majorBidi" w:cstheme="majorBidi"/>
          <w:sz w:val="24"/>
          <w:szCs w:val="24"/>
        </w:rPr>
        <w:t>įmonės</w:t>
      </w:r>
      <w:r w:rsidR="00D370D1">
        <w:rPr>
          <w:rFonts w:asciiTheme="majorBidi" w:hAnsiTheme="majorBidi" w:cstheme="majorBidi"/>
          <w:sz w:val="24"/>
          <w:szCs w:val="24"/>
        </w:rPr>
        <w:t>, neatitinkančios nepriekaištingos reputacijos reikalavimo</w:t>
      </w:r>
      <w:r w:rsidR="00987AFC" w:rsidRPr="00987AFC">
        <w:rPr>
          <w:rFonts w:asciiTheme="majorBidi" w:hAnsiTheme="majorBidi" w:cstheme="majorBidi"/>
          <w:sz w:val="24"/>
          <w:szCs w:val="24"/>
        </w:rPr>
        <w:t>, su kuria nuomos sutartis sudaryta 2005 m. liepos 28 d.,  nepažeidė ALĮ 11 straipsnio 2 dalies reikalavimo.</w:t>
      </w:r>
    </w:p>
    <w:p w14:paraId="23554FDC" w14:textId="77777777" w:rsidR="00627A28" w:rsidRDefault="00627A28" w:rsidP="00A955FA">
      <w:pPr>
        <w:spacing w:after="0" w:line="240" w:lineRule="auto"/>
        <w:ind w:right="-1"/>
        <w:jc w:val="both"/>
        <w:rPr>
          <w:rFonts w:asciiTheme="majorBidi" w:hAnsiTheme="majorBidi" w:cstheme="majorBidi"/>
          <w:sz w:val="24"/>
          <w:szCs w:val="24"/>
        </w:rPr>
      </w:pPr>
    </w:p>
    <w:p w14:paraId="73558BAB" w14:textId="635AE573" w:rsidR="0093518E" w:rsidRDefault="00F505A9" w:rsidP="00A955FA">
      <w:pPr>
        <w:spacing w:after="0" w:line="240" w:lineRule="auto"/>
        <w:ind w:left="-142" w:right="-1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</w:t>
      </w:r>
      <w:r w:rsidR="008F0056" w:rsidRPr="008F0056">
        <w:rPr>
          <w:rFonts w:asciiTheme="majorBidi" w:hAnsiTheme="majorBidi" w:cstheme="majorBidi"/>
          <w:sz w:val="24"/>
          <w:szCs w:val="24"/>
        </w:rPr>
        <w:t>Priežiūros tarnybos priimami sprendimai nėra galutiniai bei gali būti skundžiami Lietuvos Respublikos administracinių bylų teisenos įstatymo nustatyta tvarka.</w:t>
      </w:r>
    </w:p>
    <w:p w14:paraId="69829EA2" w14:textId="77777777" w:rsidR="008F0056" w:rsidRDefault="008F0056" w:rsidP="00A955FA">
      <w:pPr>
        <w:spacing w:after="0" w:line="240" w:lineRule="auto"/>
        <w:ind w:left="-142" w:right="-1"/>
        <w:jc w:val="both"/>
        <w:rPr>
          <w:rFonts w:asciiTheme="majorBidi" w:hAnsiTheme="majorBidi" w:cstheme="majorBidi"/>
          <w:sz w:val="24"/>
          <w:szCs w:val="24"/>
        </w:rPr>
      </w:pPr>
    </w:p>
    <w:p w14:paraId="2660BA64" w14:textId="77777777" w:rsidR="008F0056" w:rsidRDefault="008F0056" w:rsidP="00A955FA">
      <w:pPr>
        <w:spacing w:after="0" w:line="240" w:lineRule="auto"/>
        <w:ind w:left="-142" w:right="-1"/>
        <w:jc w:val="both"/>
        <w:rPr>
          <w:rFonts w:asciiTheme="majorBidi" w:hAnsiTheme="majorBidi" w:cstheme="majorBidi"/>
          <w:sz w:val="24"/>
          <w:szCs w:val="24"/>
        </w:rPr>
      </w:pPr>
    </w:p>
    <w:p w14:paraId="1A34C484" w14:textId="77777777" w:rsidR="008F0056" w:rsidRDefault="008F0056" w:rsidP="00F505A9">
      <w:pPr>
        <w:spacing w:after="0" w:line="240" w:lineRule="auto"/>
        <w:ind w:right="-1"/>
        <w:jc w:val="both"/>
        <w:rPr>
          <w:rFonts w:asciiTheme="majorBidi" w:hAnsiTheme="majorBidi" w:cstheme="majorBidi"/>
          <w:sz w:val="24"/>
          <w:szCs w:val="24"/>
        </w:rPr>
      </w:pPr>
    </w:p>
    <w:p w14:paraId="7D53F7CF" w14:textId="045EA28F" w:rsidR="000D149D" w:rsidRPr="0093518E" w:rsidRDefault="000D149D" w:rsidP="00A955FA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sectPr w:rsidR="000D149D" w:rsidRPr="0093518E" w:rsidSect="00627A28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60B7B"/>
    <w:multiLevelType w:val="hybridMultilevel"/>
    <w:tmpl w:val="42FC3D36"/>
    <w:lvl w:ilvl="0" w:tplc="ED0C824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982728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EC3"/>
    <w:rsid w:val="00047FC0"/>
    <w:rsid w:val="000D149D"/>
    <w:rsid w:val="002138D8"/>
    <w:rsid w:val="002A001C"/>
    <w:rsid w:val="002A6A34"/>
    <w:rsid w:val="00314580"/>
    <w:rsid w:val="00387CD4"/>
    <w:rsid w:val="003D137B"/>
    <w:rsid w:val="003F2544"/>
    <w:rsid w:val="003F750D"/>
    <w:rsid w:val="00463412"/>
    <w:rsid w:val="00495621"/>
    <w:rsid w:val="004C7CBA"/>
    <w:rsid w:val="004E39CF"/>
    <w:rsid w:val="0050316E"/>
    <w:rsid w:val="00556B68"/>
    <w:rsid w:val="00562EC3"/>
    <w:rsid w:val="00582066"/>
    <w:rsid w:val="005A09D8"/>
    <w:rsid w:val="00601D91"/>
    <w:rsid w:val="006216BB"/>
    <w:rsid w:val="00627A28"/>
    <w:rsid w:val="0063517E"/>
    <w:rsid w:val="00724D60"/>
    <w:rsid w:val="00762640"/>
    <w:rsid w:val="00762E78"/>
    <w:rsid w:val="007B71AA"/>
    <w:rsid w:val="00801E17"/>
    <w:rsid w:val="008E2FA1"/>
    <w:rsid w:val="008F0056"/>
    <w:rsid w:val="00912F62"/>
    <w:rsid w:val="0093518E"/>
    <w:rsid w:val="0095058B"/>
    <w:rsid w:val="00961A50"/>
    <w:rsid w:val="0097374C"/>
    <w:rsid w:val="00987AFC"/>
    <w:rsid w:val="009A574B"/>
    <w:rsid w:val="00A006F5"/>
    <w:rsid w:val="00A553E9"/>
    <w:rsid w:val="00A55F36"/>
    <w:rsid w:val="00A779A5"/>
    <w:rsid w:val="00A955FA"/>
    <w:rsid w:val="00B523E8"/>
    <w:rsid w:val="00C36B35"/>
    <w:rsid w:val="00C4788C"/>
    <w:rsid w:val="00D13AAE"/>
    <w:rsid w:val="00D25348"/>
    <w:rsid w:val="00D370D1"/>
    <w:rsid w:val="00D456B2"/>
    <w:rsid w:val="00D813FA"/>
    <w:rsid w:val="00F505A9"/>
    <w:rsid w:val="00FF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53DEB"/>
  <w15:chartTrackingRefBased/>
  <w15:docId w15:val="{FB28991A-0364-497A-A4E0-7F203D6EF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2E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2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2E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E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2E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2E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2E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2E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2E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EC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2EC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2EC3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2EC3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2EC3"/>
    <w:rPr>
      <w:rFonts w:eastAsiaTheme="majorEastAsia" w:cstheme="majorBidi"/>
      <w:color w:val="0F4761" w:themeColor="accent1" w:themeShade="BF"/>
      <w:lang w:val="lt-L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2EC3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2EC3"/>
    <w:rPr>
      <w:rFonts w:eastAsiaTheme="majorEastAsia" w:cstheme="majorBidi"/>
      <w:color w:val="595959" w:themeColor="text1" w:themeTint="A6"/>
      <w:lang w:val="lt-L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2EC3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2EC3"/>
    <w:rPr>
      <w:rFonts w:eastAsiaTheme="majorEastAsia" w:cstheme="majorBidi"/>
      <w:color w:val="272727" w:themeColor="text1" w:themeTint="D8"/>
      <w:lang w:val="lt-LT"/>
    </w:rPr>
  </w:style>
  <w:style w:type="paragraph" w:styleId="Title">
    <w:name w:val="Title"/>
    <w:basedOn w:val="Normal"/>
    <w:next w:val="Normal"/>
    <w:link w:val="TitleChar"/>
    <w:uiPriority w:val="10"/>
    <w:qFormat/>
    <w:rsid w:val="00562E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2EC3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2E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2EC3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Quote">
    <w:name w:val="Quote"/>
    <w:basedOn w:val="Normal"/>
    <w:next w:val="Normal"/>
    <w:link w:val="QuoteChar"/>
    <w:uiPriority w:val="29"/>
    <w:qFormat/>
    <w:rsid w:val="00562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2EC3"/>
    <w:rPr>
      <w:i/>
      <w:iCs/>
      <w:color w:val="404040" w:themeColor="text1" w:themeTint="BF"/>
      <w:lang w:val="lt-LT"/>
    </w:rPr>
  </w:style>
  <w:style w:type="paragraph" w:styleId="ListParagraph">
    <w:name w:val="List Paragraph"/>
    <w:basedOn w:val="Normal"/>
    <w:uiPriority w:val="34"/>
    <w:qFormat/>
    <w:rsid w:val="00562E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2E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E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EC3"/>
    <w:rPr>
      <w:i/>
      <w:iCs/>
      <w:color w:val="0F4761" w:themeColor="accent1" w:themeShade="BF"/>
      <w:lang w:val="lt-LT"/>
    </w:rPr>
  </w:style>
  <w:style w:type="character" w:styleId="IntenseReference">
    <w:name w:val="Intense Reference"/>
    <w:basedOn w:val="DefaultParagraphFont"/>
    <w:uiPriority w:val="32"/>
    <w:qFormat/>
    <w:rsid w:val="00562E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Martynas Vosylius</dc:creator>
  <cp:keywords/>
  <dc:description/>
  <cp:lastModifiedBy>Vitalija Liaukevičienė</cp:lastModifiedBy>
  <cp:revision>32</cp:revision>
  <dcterms:created xsi:type="dcterms:W3CDTF">2026-02-03T09:36:00Z</dcterms:created>
  <dcterms:modified xsi:type="dcterms:W3CDTF">2026-02-03T11:24:00Z</dcterms:modified>
</cp:coreProperties>
</file>