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16AD" w14:textId="77777777" w:rsidR="00A779A5" w:rsidRPr="00A779A5" w:rsidRDefault="00A779A5" w:rsidP="00A779A5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79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DĖL ATLIKTO UAB „AMBER GAMING“ NEPLANINIO SPECIALIOJO PATIKRINIMO </w:t>
      </w:r>
    </w:p>
    <w:p w14:paraId="325DC2E8" w14:textId="7FEFB925" w:rsidR="008F0056" w:rsidRDefault="00A779A5" w:rsidP="00A779A5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779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PAGAL 2025 M. BIRŽELIO 5 D. PAVEDIMĄ PATIKRINTI NR. PT-29</w:t>
      </w:r>
    </w:p>
    <w:p w14:paraId="6AE21323" w14:textId="77777777" w:rsidR="00A779A5" w:rsidRDefault="00A779A5" w:rsidP="00A779A5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360E6CA" w14:textId="77777777" w:rsidR="003F750D" w:rsidRDefault="003F750D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530846F8" w14:textId="6BCA4C7A" w:rsidR="00D456B2" w:rsidRDefault="0093518E" w:rsidP="00D456B2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93518E">
        <w:rPr>
          <w:rFonts w:asciiTheme="majorBidi" w:hAnsiTheme="majorBidi" w:cstheme="majorBidi"/>
          <w:sz w:val="24"/>
          <w:szCs w:val="24"/>
        </w:rPr>
        <w:t>ošimų priežiūros tarnyb</w:t>
      </w:r>
      <w:r w:rsidR="004C7CBA">
        <w:rPr>
          <w:rFonts w:asciiTheme="majorBidi" w:hAnsiTheme="majorBidi" w:cstheme="majorBidi"/>
          <w:sz w:val="24"/>
          <w:szCs w:val="24"/>
        </w:rPr>
        <w:t>a</w:t>
      </w:r>
      <w:r w:rsidRPr="0093518E">
        <w:rPr>
          <w:rFonts w:asciiTheme="majorBidi" w:hAnsiTheme="majorBidi" w:cstheme="majorBidi"/>
          <w:sz w:val="24"/>
          <w:szCs w:val="24"/>
        </w:rPr>
        <w:t xml:space="preserve"> prie Lietuvos Respublikos finansų ministerijos (toliau – Priežiūros tarnyba) </w:t>
      </w:r>
      <w:r w:rsidR="004C7CBA">
        <w:rPr>
          <w:rFonts w:asciiTheme="majorBidi" w:hAnsiTheme="majorBidi" w:cstheme="majorBidi"/>
          <w:sz w:val="24"/>
          <w:szCs w:val="24"/>
        </w:rPr>
        <w:t>a</w:t>
      </w:r>
      <w:r w:rsidR="004C7CBA" w:rsidRPr="004C7CBA">
        <w:rPr>
          <w:rFonts w:asciiTheme="majorBidi" w:hAnsiTheme="majorBidi" w:cstheme="majorBidi"/>
          <w:sz w:val="24"/>
          <w:szCs w:val="24"/>
        </w:rPr>
        <w:t>tlikus</w:t>
      </w:r>
      <w:r w:rsidR="004C7CBA">
        <w:rPr>
          <w:rFonts w:asciiTheme="majorBidi" w:hAnsiTheme="majorBidi" w:cstheme="majorBidi"/>
          <w:sz w:val="24"/>
          <w:szCs w:val="24"/>
        </w:rPr>
        <w:t>i</w:t>
      </w:r>
      <w:r w:rsidR="00A55F36">
        <w:rPr>
          <w:rFonts w:asciiTheme="majorBidi" w:hAnsiTheme="majorBidi" w:cstheme="majorBidi"/>
          <w:sz w:val="24"/>
          <w:szCs w:val="24"/>
        </w:rPr>
        <w:t xml:space="preserve"> </w:t>
      </w:r>
      <w:r w:rsidR="00047FC0">
        <w:rPr>
          <w:rFonts w:asciiTheme="majorBidi" w:hAnsiTheme="majorBidi" w:cstheme="majorBidi"/>
          <w:sz w:val="24"/>
          <w:szCs w:val="24"/>
        </w:rPr>
        <w:t xml:space="preserve">UAB </w:t>
      </w:r>
      <w:r w:rsidR="00B523E8" w:rsidRPr="00B523E8">
        <w:rPr>
          <w:rFonts w:asciiTheme="majorBidi" w:hAnsiTheme="majorBidi" w:cstheme="majorBidi"/>
          <w:sz w:val="24"/>
          <w:szCs w:val="24"/>
        </w:rPr>
        <w:t>,,</w:t>
      </w:r>
      <w:r w:rsidR="00047FC0">
        <w:rPr>
          <w:rFonts w:asciiTheme="majorBidi" w:hAnsiTheme="majorBidi" w:cstheme="majorBidi"/>
          <w:sz w:val="24"/>
          <w:szCs w:val="24"/>
        </w:rPr>
        <w:t>Amber Gaming</w:t>
      </w:r>
      <w:r w:rsidR="00B523E8" w:rsidRPr="00B523E8">
        <w:rPr>
          <w:rFonts w:asciiTheme="majorBidi" w:hAnsiTheme="majorBidi" w:cstheme="majorBidi"/>
          <w:sz w:val="24"/>
          <w:szCs w:val="24"/>
        </w:rPr>
        <w:t>“</w:t>
      </w:r>
      <w:r w:rsidR="00047FC0">
        <w:rPr>
          <w:rFonts w:asciiTheme="majorBidi" w:hAnsiTheme="majorBidi" w:cstheme="majorBidi"/>
          <w:sz w:val="24"/>
          <w:szCs w:val="24"/>
        </w:rPr>
        <w:t xml:space="preserve"> </w:t>
      </w:r>
      <w:r w:rsidR="00B523E8">
        <w:rPr>
          <w:rFonts w:asciiTheme="majorBidi" w:hAnsiTheme="majorBidi" w:cstheme="majorBidi"/>
          <w:sz w:val="24"/>
          <w:szCs w:val="24"/>
        </w:rPr>
        <w:t xml:space="preserve">(toliau – </w:t>
      </w:r>
      <w:r w:rsidR="004C7CBA" w:rsidRPr="004C7CBA">
        <w:rPr>
          <w:rFonts w:asciiTheme="majorBidi" w:hAnsiTheme="majorBidi" w:cstheme="majorBidi"/>
          <w:sz w:val="24"/>
          <w:szCs w:val="24"/>
        </w:rPr>
        <w:t>Bendrovė</w:t>
      </w:r>
      <w:r w:rsidR="00B523E8">
        <w:rPr>
          <w:rFonts w:asciiTheme="majorBidi" w:hAnsiTheme="majorBidi" w:cstheme="majorBidi"/>
          <w:sz w:val="24"/>
          <w:szCs w:val="24"/>
        </w:rPr>
        <w:t>)</w:t>
      </w:r>
      <w:r w:rsidR="004C7CBA" w:rsidRPr="004C7CBA">
        <w:rPr>
          <w:rFonts w:asciiTheme="majorBidi" w:hAnsiTheme="majorBidi" w:cstheme="majorBidi"/>
          <w:sz w:val="24"/>
          <w:szCs w:val="24"/>
        </w:rPr>
        <w:t xml:space="preserve"> neplaninį specialųjį patikrinimą, Priežiūros tarnybos direktoriaus </w:t>
      </w:r>
      <w:r w:rsidR="00047FC0" w:rsidRPr="00047FC0">
        <w:rPr>
          <w:rFonts w:asciiTheme="majorBidi" w:hAnsiTheme="majorBidi" w:cstheme="majorBidi"/>
          <w:sz w:val="24"/>
          <w:szCs w:val="24"/>
        </w:rPr>
        <w:t>2026 m. sausio 22 d. įsakym</w:t>
      </w:r>
      <w:r w:rsidR="00047FC0">
        <w:rPr>
          <w:rFonts w:asciiTheme="majorBidi" w:hAnsiTheme="majorBidi" w:cstheme="majorBidi"/>
          <w:sz w:val="24"/>
          <w:szCs w:val="24"/>
        </w:rPr>
        <w:t>u</w:t>
      </w:r>
      <w:r w:rsidR="00047FC0" w:rsidRPr="00047FC0">
        <w:rPr>
          <w:rFonts w:asciiTheme="majorBidi" w:hAnsiTheme="majorBidi" w:cstheme="majorBidi"/>
          <w:sz w:val="24"/>
          <w:szCs w:val="24"/>
        </w:rPr>
        <w:t xml:space="preserve"> Nr. DIE-15 „Dėl atlikto UAB „Amber Gaming“ neplaninio specialiojo patikrinimo pagal 2025 m. birželio 5 d. pavedimą patikrinti Nr. PT-29</w:t>
      </w:r>
      <w:r w:rsidR="004C7CBA" w:rsidRPr="004C7CBA">
        <w:rPr>
          <w:rFonts w:asciiTheme="majorBidi" w:hAnsiTheme="majorBidi" w:cstheme="majorBidi"/>
          <w:sz w:val="24"/>
          <w:szCs w:val="24"/>
        </w:rPr>
        <w:t>“ konstat</w:t>
      </w:r>
      <w:r w:rsidR="004C7CBA">
        <w:rPr>
          <w:rFonts w:asciiTheme="majorBidi" w:hAnsiTheme="majorBidi" w:cstheme="majorBidi"/>
          <w:sz w:val="24"/>
          <w:szCs w:val="24"/>
        </w:rPr>
        <w:t>avo</w:t>
      </w:r>
      <w:r w:rsidR="004C7CBA" w:rsidRPr="004C7CBA">
        <w:rPr>
          <w:rFonts w:asciiTheme="majorBidi" w:hAnsiTheme="majorBidi" w:cstheme="majorBidi"/>
          <w:sz w:val="24"/>
          <w:szCs w:val="24"/>
        </w:rPr>
        <w:t xml:space="preserve">, </w:t>
      </w:r>
      <w:r w:rsidR="004C7CBA" w:rsidRPr="00D456B2">
        <w:rPr>
          <w:rFonts w:asciiTheme="majorBidi" w:hAnsiTheme="majorBidi" w:cstheme="majorBidi"/>
          <w:sz w:val="24"/>
          <w:szCs w:val="24"/>
        </w:rPr>
        <w:t xml:space="preserve">kad 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Bendrovė, priėmusi įmoką iš </w:t>
      </w:r>
      <w:r w:rsid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lošėjo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vardu išduotos mokėjimo kortelės, neužtikrino teisės </w:t>
      </w:r>
      <w:r w:rsid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lošėjui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atgauti lėšas į tą pačią jam priklausančią sąskaitą/ mokėjimo kortelę, tokiu būdu pažeidė </w:t>
      </w:r>
      <w:r w:rsid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Lietuvos Respublikos azartinių lošimų įstatymo (toliau – 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ALĮ</w:t>
      </w:r>
      <w:r w:rsid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)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20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vertAlign w:val="superscript"/>
          <w14:ligatures w14:val="none"/>
        </w:rPr>
        <w:t>5</w:t>
      </w:r>
      <w:r w:rsidR="00047FC0" w:rsidRPr="00047FC0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straipsnio 2, 4 dalies reikalavimus</w:t>
      </w:r>
      <w:r w:rsidR="00D456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. </w:t>
      </w:r>
    </w:p>
    <w:p w14:paraId="7208B7D4" w14:textId="77777777" w:rsidR="00D456B2" w:rsidRDefault="00D456B2" w:rsidP="00D456B2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65A813E" w14:textId="6798AD2D" w:rsidR="00D456B2" w:rsidRDefault="00D456B2" w:rsidP="00D456B2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6B2">
        <w:rPr>
          <w:rFonts w:ascii="Times New Roman" w:eastAsia="Calibri" w:hAnsi="Times New Roman" w:cs="Times New Roman"/>
          <w:sz w:val="24"/>
          <w:szCs w:val="24"/>
        </w:rPr>
        <w:t>Įvertinus visas su nustatytu pažeidimu susijusias aplinkybes, vadovaujantis Priežiūros tarnybos direktoriaus 2020 m. birželio 29 d. įsakymo Nr. DIE-486 „Dėl mažareikšmių azartinius lošimus ir loterijas reglamentuojančių teisės aktų reikalavimų pažeidimų kriterijų patvirtinimo“ 5.1</w:t>
      </w:r>
      <w:r w:rsidR="00047FC0">
        <w:rPr>
          <w:rFonts w:ascii="Times New Roman" w:eastAsia="Calibri" w:hAnsi="Times New Roman" w:cs="Times New Roman"/>
          <w:sz w:val="24"/>
          <w:szCs w:val="24"/>
        </w:rPr>
        <w:t>0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papunkči</w:t>
      </w:r>
      <w:r w:rsidR="00047FC0">
        <w:rPr>
          <w:rFonts w:ascii="Times New Roman" w:eastAsia="Calibri" w:hAnsi="Times New Roman" w:cs="Times New Roman"/>
          <w:sz w:val="24"/>
          <w:szCs w:val="24"/>
        </w:rPr>
        <w:t>u</w:t>
      </w:r>
      <w:r w:rsidRPr="00D456B2">
        <w:rPr>
          <w:rFonts w:ascii="Times New Roman" w:eastAsia="Calibri" w:hAnsi="Times New Roman" w:cs="Times New Roman"/>
          <w:sz w:val="24"/>
          <w:szCs w:val="24"/>
        </w:rPr>
        <w:t>, pažeidimas pripažintas mažareikšmiu teisės aktų reikalavimų pažeidimu</w:t>
      </w:r>
    </w:p>
    <w:p w14:paraId="43411535" w14:textId="77777777" w:rsidR="00D456B2" w:rsidRDefault="00D456B2" w:rsidP="00D456B2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096F2" w14:textId="7CF09EDD" w:rsidR="00D456B2" w:rsidRPr="0097374C" w:rsidRDefault="00D456B2" w:rsidP="0097374C">
      <w:pPr>
        <w:spacing w:after="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6B2">
        <w:rPr>
          <w:rFonts w:ascii="Times New Roman" w:eastAsia="Calibri" w:hAnsi="Times New Roman" w:cs="Times New Roman"/>
          <w:sz w:val="24"/>
          <w:szCs w:val="24"/>
        </w:rPr>
        <w:t>Remiantis ALĮ 29</w:t>
      </w:r>
      <w:r w:rsidRPr="00D456B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straipsnio 6 dalimi, atsižvelgiant į nustatytas </w:t>
      </w:r>
      <w:r w:rsidR="003F2544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endrovės lengvinančias aplinkybes, tai, kad </w:t>
      </w:r>
      <w:r w:rsidR="00D813FA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 patikrinimo metu geranoriškai bendradarbiavo su Priežiūros tarnyba, teikė informaciją, paaiškinimus, </w:t>
      </w:r>
      <w:r w:rsidR="00D813FA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>endrovė anksčiau nėra baust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už analogišką pažeidimą, pajamų ar kitokios turtinės naudos, gautos tiesiogiai dėl pažeidimo padarymo, </w:t>
      </w:r>
      <w:r w:rsidR="003F2544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>endrovė negavo,</w:t>
      </w:r>
      <w:r w:rsidR="0097374C">
        <w:rPr>
          <w:rFonts w:ascii="Times New Roman" w:eastAsia="Calibri" w:hAnsi="Times New Roman" w:cs="Times New Roman"/>
          <w:sz w:val="24"/>
          <w:szCs w:val="24"/>
        </w:rPr>
        <w:t xml:space="preserve"> taip pat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lošėjas</w:t>
      </w:r>
      <w:r w:rsidR="00047FC0" w:rsidRPr="00047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turėjo galimybę lėšas iš nuotolinių lošimų sąskaitos pervesti į </w:t>
      </w:r>
      <w:r w:rsidR="009737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kitą jam</w:t>
      </w:r>
      <w:r w:rsidR="00047FC0" w:rsidRPr="00047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priklausanči</w:t>
      </w:r>
      <w:r w:rsidR="009737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ą</w:t>
      </w:r>
      <w:r w:rsidR="00047FC0" w:rsidRPr="00047F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mokėjimo sąskait</w:t>
      </w:r>
      <w:r w:rsidR="009737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ą</w:t>
      </w:r>
      <w:r w:rsidR="00B523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B523E8" w:rsidRPr="00D456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374C" w:rsidRPr="0097374C">
        <w:rPr>
          <w:rFonts w:ascii="Times New Roman" w:eastAsia="Calibri" w:hAnsi="Times New Roman" w:cs="Times New Roman"/>
          <w:sz w:val="24"/>
          <w:szCs w:val="24"/>
        </w:rPr>
        <w:t xml:space="preserve">kuria </w:t>
      </w:r>
      <w:r w:rsidR="0097374C">
        <w:rPr>
          <w:rFonts w:ascii="Times New Roman" w:eastAsia="Calibri" w:hAnsi="Times New Roman" w:cs="Times New Roman"/>
          <w:sz w:val="24"/>
          <w:szCs w:val="24"/>
        </w:rPr>
        <w:t xml:space="preserve">lošėjas </w:t>
      </w:r>
      <w:r w:rsidR="0097374C" w:rsidRPr="0097374C">
        <w:rPr>
          <w:rFonts w:ascii="Times New Roman" w:eastAsia="Calibri" w:hAnsi="Times New Roman" w:cs="Times New Roman"/>
          <w:sz w:val="24"/>
          <w:szCs w:val="24"/>
        </w:rPr>
        <w:t>ir pasinaudojo, tačiau vėliau išmoką pats atšaukė</w:t>
      </w:r>
      <w:r w:rsidR="009737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nenustačiusi atsakomybę sunkinančių aplinkybių, konstatavus, kad </w:t>
      </w:r>
      <w:r w:rsidR="00D813FA"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 xml:space="preserve">endrovės padarytas pažeidimas yra mažareikšmis ir nepadarė esminės žalos įstatymų saugomiems interesams, vadovaujantis teisingumo ir protingumo kriterijais, nutarta netaikyti poveikio priemonių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D456B2">
        <w:rPr>
          <w:rFonts w:ascii="Times New Roman" w:eastAsia="Calibri" w:hAnsi="Times New Roman" w:cs="Times New Roman"/>
          <w:sz w:val="24"/>
          <w:szCs w:val="24"/>
        </w:rPr>
        <w:t>endrovei. Bendrovė informuota, kad už pakartotinai per vienerius metus padarytą tapatų pažeidimą, bus taikomos ALĮ numatytos poveikio priemonės.</w:t>
      </w:r>
    </w:p>
    <w:p w14:paraId="5CFC7DD4" w14:textId="77777777" w:rsidR="00D456B2" w:rsidRDefault="00D456B2" w:rsidP="00D456B2">
      <w:pPr>
        <w:spacing w:after="0" w:line="240" w:lineRule="auto"/>
        <w:ind w:right="-1"/>
        <w:jc w:val="both"/>
        <w:rPr>
          <w:rFonts w:asciiTheme="majorBidi" w:hAnsiTheme="majorBidi" w:cstheme="majorBidi"/>
          <w:sz w:val="24"/>
          <w:szCs w:val="24"/>
        </w:rPr>
      </w:pPr>
    </w:p>
    <w:p w14:paraId="73558BAB" w14:textId="4C01B1E7" w:rsidR="0093518E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 w:rsidRPr="008F0056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69829EA2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660BA64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65FEB963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ECAB657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8AD5BE3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1A34C484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5FC158E" w14:textId="77777777" w:rsidR="0093518E" w:rsidRDefault="0093518E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A0B1C3" w14:textId="77777777" w:rsidR="0093518E" w:rsidRDefault="0093518E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D53F7CF" w14:textId="045EA28F" w:rsidR="000D149D" w:rsidRPr="0093518E" w:rsidRDefault="000D149D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D149D" w:rsidRPr="0093518E" w:rsidSect="002A6A3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C3"/>
    <w:rsid w:val="00047FC0"/>
    <w:rsid w:val="000D149D"/>
    <w:rsid w:val="002A6A34"/>
    <w:rsid w:val="003F2544"/>
    <w:rsid w:val="003F750D"/>
    <w:rsid w:val="00495621"/>
    <w:rsid w:val="004C7CBA"/>
    <w:rsid w:val="00562EC3"/>
    <w:rsid w:val="006216BB"/>
    <w:rsid w:val="00801E17"/>
    <w:rsid w:val="008F0056"/>
    <w:rsid w:val="0093518E"/>
    <w:rsid w:val="00961A50"/>
    <w:rsid w:val="0097374C"/>
    <w:rsid w:val="00A55F36"/>
    <w:rsid w:val="00A779A5"/>
    <w:rsid w:val="00B523E8"/>
    <w:rsid w:val="00D13AAE"/>
    <w:rsid w:val="00D456B2"/>
    <w:rsid w:val="00D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DEB"/>
  <w15:chartTrackingRefBased/>
  <w15:docId w15:val="{FB28991A-0364-497A-A4E0-7F203D6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C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C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C3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C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C3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C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C3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56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C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C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56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C3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56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C3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56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3</cp:revision>
  <dcterms:created xsi:type="dcterms:W3CDTF">2026-01-22T11:33:00Z</dcterms:created>
  <dcterms:modified xsi:type="dcterms:W3CDTF">2026-01-22T11:45:00Z</dcterms:modified>
</cp:coreProperties>
</file>