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D0E" w14:textId="6560A229" w:rsidR="00DC5701" w:rsidRPr="00541263" w:rsidRDefault="00DC5701" w:rsidP="00541263">
      <w:pPr>
        <w:spacing w:after="0" w:line="240" w:lineRule="auto"/>
        <w:jc w:val="center"/>
        <w:rPr>
          <w:rFonts w:asciiTheme="majorBidi" w:hAnsiTheme="majorBidi" w:cstheme="majorBidi"/>
          <w:b/>
          <w:bCs/>
          <w:sz w:val="24"/>
          <w:szCs w:val="24"/>
        </w:rPr>
      </w:pPr>
      <w:r w:rsidRPr="00541263">
        <w:rPr>
          <w:rFonts w:asciiTheme="majorBidi" w:hAnsiTheme="majorBidi" w:cstheme="majorBidi"/>
          <w:b/>
          <w:bCs/>
          <w:sz w:val="24"/>
          <w:szCs w:val="24"/>
        </w:rPr>
        <w:t xml:space="preserve">INFORMACINĖ ATMINTINĖ LOŠIMŲ ORGANIZATORIAMS, </w:t>
      </w:r>
    </w:p>
    <w:p w14:paraId="18BEE235" w14:textId="691357CC" w:rsidR="008B485A" w:rsidRPr="00541263" w:rsidRDefault="00DC5701" w:rsidP="00541263">
      <w:pPr>
        <w:spacing w:after="0" w:line="240" w:lineRule="auto"/>
        <w:jc w:val="center"/>
        <w:rPr>
          <w:rFonts w:asciiTheme="majorBidi" w:hAnsiTheme="majorBidi" w:cstheme="majorBidi"/>
          <w:b/>
          <w:bCs/>
          <w:sz w:val="24"/>
          <w:szCs w:val="24"/>
        </w:rPr>
      </w:pPr>
      <w:r w:rsidRPr="00541263">
        <w:rPr>
          <w:rFonts w:asciiTheme="majorBidi" w:hAnsiTheme="majorBidi" w:cstheme="majorBidi"/>
          <w:b/>
          <w:bCs/>
          <w:sz w:val="24"/>
          <w:szCs w:val="24"/>
        </w:rPr>
        <w:t>KETINANTIEMS TOLIAU VYKDYTI ANTŽEMINIŲ IR NUOTOLINIŲ LOŠIMŲ VEIKLĄ PO 2027 M. LIEPOS 1 D.</w:t>
      </w:r>
    </w:p>
    <w:p w14:paraId="74686E69" w14:textId="77777777" w:rsidR="00DC5701" w:rsidRDefault="00DC5701" w:rsidP="00541263">
      <w:pPr>
        <w:spacing w:after="0" w:line="240" w:lineRule="auto"/>
        <w:jc w:val="center"/>
        <w:rPr>
          <w:rFonts w:asciiTheme="majorBidi" w:hAnsiTheme="majorBidi" w:cstheme="majorBidi"/>
          <w:sz w:val="24"/>
          <w:szCs w:val="24"/>
        </w:rPr>
      </w:pPr>
    </w:p>
    <w:p w14:paraId="58F38BE4" w14:textId="77777777" w:rsidR="00CC0433" w:rsidRPr="00541263" w:rsidRDefault="00CC0433" w:rsidP="00541263">
      <w:pPr>
        <w:spacing w:after="0" w:line="240" w:lineRule="auto"/>
        <w:jc w:val="center"/>
        <w:rPr>
          <w:rFonts w:asciiTheme="majorBidi" w:hAnsiTheme="majorBidi" w:cstheme="majorBidi"/>
          <w:sz w:val="24"/>
          <w:szCs w:val="24"/>
        </w:rPr>
      </w:pPr>
    </w:p>
    <w:p w14:paraId="7EF5FC5D" w14:textId="389088EC" w:rsidR="00FF3495" w:rsidRPr="00541263" w:rsidRDefault="00FF3495"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 xml:space="preserve">2022 m. liepos 1 d. įsigaliojo </w:t>
      </w:r>
      <w:hyperlink r:id="rId5" w:history="1">
        <w:r w:rsidRPr="00541263">
          <w:rPr>
            <w:rStyle w:val="Hipersaitas"/>
            <w:rFonts w:asciiTheme="majorBidi" w:hAnsiTheme="majorBidi" w:cstheme="majorBidi"/>
            <w:sz w:val="24"/>
            <w:szCs w:val="24"/>
          </w:rPr>
          <w:t xml:space="preserve">2021 m. spalio 14 d. </w:t>
        </w:r>
        <w:r w:rsidR="00B03C2C" w:rsidRPr="00541263">
          <w:rPr>
            <w:rStyle w:val="Hipersaitas"/>
            <w:rFonts w:asciiTheme="majorBidi" w:hAnsiTheme="majorBidi" w:cstheme="majorBidi"/>
            <w:sz w:val="24"/>
            <w:szCs w:val="24"/>
          </w:rPr>
          <w:t xml:space="preserve">priimtas </w:t>
        </w:r>
        <w:r w:rsidRPr="00541263">
          <w:rPr>
            <w:rStyle w:val="Hipersaitas"/>
            <w:rFonts w:asciiTheme="majorBidi" w:hAnsiTheme="majorBidi" w:cstheme="majorBidi"/>
            <w:sz w:val="24"/>
            <w:szCs w:val="24"/>
          </w:rPr>
          <w:t>Lietuvos Respublikos azartinių lošimų įstatymo Nr. IX-325 5, 8, 8</w:t>
        </w:r>
        <w:r w:rsidRPr="00541263">
          <w:rPr>
            <w:rStyle w:val="Hipersaitas"/>
            <w:rFonts w:asciiTheme="majorBidi" w:hAnsiTheme="majorBidi" w:cstheme="majorBidi"/>
            <w:sz w:val="24"/>
            <w:szCs w:val="24"/>
            <w:vertAlign w:val="superscript"/>
          </w:rPr>
          <w:t>1</w:t>
        </w:r>
        <w:r w:rsidRPr="00541263">
          <w:rPr>
            <w:rStyle w:val="Hipersaitas"/>
            <w:rFonts w:asciiTheme="majorBidi" w:hAnsiTheme="majorBidi" w:cstheme="majorBidi"/>
            <w:sz w:val="24"/>
            <w:szCs w:val="24"/>
          </w:rPr>
          <w:t>, 9, 13, 21 straipsnių pakeitimo ir Įstatymo papildymo 24</w:t>
        </w:r>
        <w:r w:rsidRPr="00541263">
          <w:rPr>
            <w:rStyle w:val="Hipersaitas"/>
            <w:rFonts w:asciiTheme="majorBidi" w:hAnsiTheme="majorBidi" w:cstheme="majorBidi"/>
            <w:sz w:val="24"/>
            <w:szCs w:val="24"/>
            <w:vertAlign w:val="superscript"/>
          </w:rPr>
          <w:t>1</w:t>
        </w:r>
        <w:r w:rsidRPr="00541263">
          <w:rPr>
            <w:rStyle w:val="Hipersaitas"/>
            <w:rFonts w:asciiTheme="majorBidi" w:hAnsiTheme="majorBidi" w:cstheme="majorBidi"/>
            <w:sz w:val="24"/>
            <w:szCs w:val="24"/>
          </w:rPr>
          <w:t xml:space="preserve"> straipsniu įstatymas Nr. XIV-580</w:t>
        </w:r>
      </w:hyperlink>
      <w:r w:rsidRPr="00541263">
        <w:rPr>
          <w:rFonts w:asciiTheme="majorBidi" w:hAnsiTheme="majorBidi" w:cstheme="majorBidi"/>
          <w:sz w:val="24"/>
          <w:szCs w:val="24"/>
        </w:rPr>
        <w:t xml:space="preserve"> (toliau –</w:t>
      </w:r>
      <w:r w:rsidR="003529AE" w:rsidRPr="00541263">
        <w:rPr>
          <w:rFonts w:asciiTheme="majorBidi" w:hAnsiTheme="majorBidi" w:cstheme="majorBidi"/>
          <w:sz w:val="24"/>
          <w:szCs w:val="24"/>
        </w:rPr>
        <w:t xml:space="preserve">ALĮ </w:t>
      </w:r>
      <w:r w:rsidRPr="00541263">
        <w:rPr>
          <w:rFonts w:asciiTheme="majorBidi" w:hAnsiTheme="majorBidi" w:cstheme="majorBidi"/>
          <w:sz w:val="24"/>
          <w:szCs w:val="24"/>
        </w:rPr>
        <w:t>pakeitim</w:t>
      </w:r>
      <w:r w:rsidR="003529AE" w:rsidRPr="00541263">
        <w:rPr>
          <w:rFonts w:asciiTheme="majorBidi" w:hAnsiTheme="majorBidi" w:cstheme="majorBidi"/>
          <w:sz w:val="24"/>
          <w:szCs w:val="24"/>
        </w:rPr>
        <w:t>o įstatymas</w:t>
      </w:r>
      <w:r w:rsidRPr="00541263">
        <w:rPr>
          <w:rFonts w:asciiTheme="majorBidi" w:hAnsiTheme="majorBidi" w:cstheme="majorBidi"/>
          <w:sz w:val="24"/>
          <w:szCs w:val="24"/>
        </w:rPr>
        <w:t>).</w:t>
      </w:r>
    </w:p>
    <w:p w14:paraId="657F2754" w14:textId="1A7B8B6B" w:rsidR="00B03C2C" w:rsidRPr="00541263" w:rsidRDefault="003529AE"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ALĮ pakeitimo įstatym</w:t>
      </w:r>
      <w:r w:rsidR="00FF3495" w:rsidRPr="00541263">
        <w:rPr>
          <w:rFonts w:asciiTheme="majorBidi" w:hAnsiTheme="majorBidi" w:cstheme="majorBidi"/>
          <w:sz w:val="24"/>
          <w:szCs w:val="24"/>
        </w:rPr>
        <w:t>o 8 straipsnyje nustatyta, kad:</w:t>
      </w:r>
      <w:r w:rsidR="00B03C2C" w:rsidRPr="00541263">
        <w:rPr>
          <w:rFonts w:asciiTheme="majorBidi" w:hAnsiTheme="majorBidi" w:cstheme="majorBidi"/>
          <w:sz w:val="24"/>
          <w:szCs w:val="24"/>
        </w:rPr>
        <w:t xml:space="preserve"> </w:t>
      </w:r>
    </w:p>
    <w:p w14:paraId="6AD414F0" w14:textId="50E24EB8" w:rsidR="00B03C2C" w:rsidRPr="00541263" w:rsidRDefault="00B03C2C"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„2. Leidimai atidaryti automatų ar bingo salonus, lošimo namus (kazino), steigti lažybų ir totalizatoriaus punktus, įskaitant žirgų totalizatoriaus punktus, organizuoti nuotolinius lošimus, išduoti iki šio įstatymo įsigaliojimo, galioja iki 2027 m. liepos 1 d.</w:t>
      </w:r>
    </w:p>
    <w:p w14:paraId="6F99B17C" w14:textId="77777777" w:rsidR="00BB38FD" w:rsidRPr="00541263" w:rsidRDefault="00B03C2C"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3. Bendrovės, siekiančios tęsti lošimų organizavimo veiklą iki šio įstatymo įsigaliojimo išduotuose leidimuose atidaryti automatų ar bingo salonus, lošimo namus (kazino), steigti lažybų ir totalizatoriaus punktus, įskaitant žirgų totalizatoriaus punktus, nurodytose lošimų organizavimo vietose po 2027 m. liepos 1 d., ne vėliau kaip iki 2027 m. balandžio 1 d. pateikia Priežiūros tarnybai prašymą pratęsti leidimo galiojimo terminą, kuriame nurodomas lošimo organizavimo vietos adresas ir savivaldybės tarybos sutikimas tęsti lošimų veiklą šioje vietoje.</w:t>
      </w:r>
    </w:p>
    <w:p w14:paraId="1C50A5B0" w14:textId="5C0EE93B" w:rsidR="00B03C2C" w:rsidRPr="00541263" w:rsidRDefault="00BB38FD"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4. Bendrovės, kurioms leidimas organizuoti nuotolinius lošimus išduotas iki šio įstatymo įsigaliojimo ir kurios siekia tęsti nuotolinių lošimų organizavimo veiklą po 2027 m. liepos 1 d., ne vėliau kaip iki 2027 m. balandžio 1 d. pateikia Priežiūros tarnybai prašymą išduoti licenciją organizuoti nuotolinius lošimus ir dokumentus ar duomenis, patvirtinančius, kad bendrovė atitinka Azartinių lošimų įstatymo 13 straipsnio 2</w:t>
      </w:r>
      <w:r w:rsidRPr="00541263">
        <w:rPr>
          <w:rFonts w:asciiTheme="majorBidi" w:hAnsiTheme="majorBidi" w:cstheme="majorBidi"/>
          <w:sz w:val="24"/>
          <w:szCs w:val="24"/>
          <w:vertAlign w:val="superscript"/>
        </w:rPr>
        <w:t>1</w:t>
      </w:r>
      <w:r w:rsidRPr="00541263">
        <w:rPr>
          <w:rFonts w:asciiTheme="majorBidi" w:hAnsiTheme="majorBidi" w:cstheme="majorBidi"/>
          <w:sz w:val="24"/>
          <w:szCs w:val="24"/>
        </w:rPr>
        <w:t>, 2</w:t>
      </w:r>
      <w:r w:rsidRPr="00541263">
        <w:rPr>
          <w:rFonts w:asciiTheme="majorBidi" w:hAnsiTheme="majorBidi" w:cstheme="majorBidi"/>
          <w:sz w:val="24"/>
          <w:szCs w:val="24"/>
          <w:vertAlign w:val="superscript"/>
        </w:rPr>
        <w:t>2</w:t>
      </w:r>
      <w:r w:rsidRPr="00541263">
        <w:rPr>
          <w:rFonts w:asciiTheme="majorBidi" w:hAnsiTheme="majorBidi" w:cstheme="majorBidi"/>
          <w:sz w:val="24"/>
          <w:szCs w:val="24"/>
        </w:rPr>
        <w:t xml:space="preserve"> ir 2</w:t>
      </w:r>
      <w:r w:rsidRPr="00541263">
        <w:rPr>
          <w:rFonts w:asciiTheme="majorBidi" w:hAnsiTheme="majorBidi" w:cstheme="majorBidi"/>
          <w:sz w:val="24"/>
          <w:szCs w:val="24"/>
          <w:vertAlign w:val="superscript"/>
        </w:rPr>
        <w:t>3</w:t>
      </w:r>
      <w:r w:rsidRPr="00541263">
        <w:rPr>
          <w:rFonts w:asciiTheme="majorBidi" w:hAnsiTheme="majorBidi" w:cstheme="majorBidi"/>
          <w:sz w:val="24"/>
          <w:szCs w:val="24"/>
        </w:rPr>
        <w:t xml:space="preserve"> dalių nuostatas. Šio įstatymo nustatyta tvarka išdavus licenciją organizuoti nuotolinius lošimus, netenka galios iki šio įstatymo įsigaliojimo išduotas leidimas organizuoti nuotolinius lošimus.</w:t>
      </w:r>
      <w:r w:rsidR="00B03C2C" w:rsidRPr="00541263">
        <w:rPr>
          <w:rFonts w:asciiTheme="majorBidi" w:hAnsiTheme="majorBidi" w:cstheme="majorBidi"/>
          <w:sz w:val="24"/>
          <w:szCs w:val="24"/>
        </w:rPr>
        <w:t>“</w:t>
      </w:r>
    </w:p>
    <w:p w14:paraId="61F000D4" w14:textId="2C26B15A" w:rsidR="00120188" w:rsidRPr="00541263" w:rsidRDefault="00120188"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 xml:space="preserve">Lietuvos Respublikos azartinių lošimų įstatymo </w:t>
      </w:r>
      <w:r w:rsidR="0076325D" w:rsidRPr="00541263">
        <w:rPr>
          <w:rFonts w:asciiTheme="majorBidi" w:hAnsiTheme="majorBidi" w:cstheme="majorBidi"/>
          <w:sz w:val="24"/>
          <w:szCs w:val="24"/>
        </w:rPr>
        <w:t xml:space="preserve">(toliau – Azartinių lošimų įstatymas) </w:t>
      </w:r>
      <w:r w:rsidRPr="00541263">
        <w:rPr>
          <w:rFonts w:asciiTheme="majorBidi" w:hAnsiTheme="majorBidi" w:cstheme="majorBidi"/>
          <w:sz w:val="24"/>
          <w:szCs w:val="24"/>
        </w:rPr>
        <w:t>24</w:t>
      </w:r>
      <w:r w:rsidRPr="00541263">
        <w:rPr>
          <w:rFonts w:asciiTheme="majorBidi" w:hAnsiTheme="majorBidi" w:cstheme="majorBidi"/>
          <w:sz w:val="24"/>
          <w:szCs w:val="24"/>
          <w:vertAlign w:val="superscript"/>
        </w:rPr>
        <w:t>1</w:t>
      </w:r>
      <w:r w:rsidRPr="00541263">
        <w:rPr>
          <w:rFonts w:asciiTheme="majorBidi" w:hAnsiTheme="majorBidi" w:cstheme="majorBidi"/>
          <w:sz w:val="24"/>
          <w:szCs w:val="24"/>
        </w:rPr>
        <w:t xml:space="preserve"> straipsnio 3 dalyje nustatyta, kad Bendrovė, pageidaujanti pratęsti leidimo galiojimo terminą, ne anksčiau kaip prieš 30 darbo dienų ir ne vėliau kaip prieš 10 darbo dienų iki leidimo galiojimo termino pabaigos privalo Priežiūros tarnybai pateikti prašymą, kuriame nurodomas lošimo organizavimo vietos, kurioje pageidauja tęsti lošimų veiklos organizavimą, adresas ir savivaldybės tarybos sutikimas dėl bendrovės lošimų organizavimo veiklos pratęsimo prašyme nurodytoje vietoje.</w:t>
      </w:r>
    </w:p>
    <w:p w14:paraId="052C9A3C" w14:textId="663911BF" w:rsidR="00590E8C" w:rsidRPr="00541263" w:rsidRDefault="00541263" w:rsidP="00070165">
      <w:pPr>
        <w:spacing w:before="240" w:line="240" w:lineRule="auto"/>
        <w:jc w:val="both"/>
        <w:rPr>
          <w:rFonts w:asciiTheme="majorBidi" w:hAnsiTheme="majorBidi" w:cstheme="majorBidi"/>
          <w:b/>
          <w:bCs/>
          <w:sz w:val="24"/>
          <w:szCs w:val="24"/>
        </w:rPr>
      </w:pPr>
      <w:r w:rsidRPr="00541263">
        <w:rPr>
          <w:rFonts w:asciiTheme="majorBidi" w:hAnsiTheme="majorBidi" w:cstheme="majorBidi"/>
          <w:b/>
          <w:bCs/>
          <w:sz w:val="24"/>
          <w:szCs w:val="24"/>
        </w:rPr>
        <w:t>Lošimų organizatoriams,</w:t>
      </w:r>
      <w:r>
        <w:rPr>
          <w:rFonts w:asciiTheme="majorBidi" w:hAnsiTheme="majorBidi" w:cstheme="majorBidi"/>
          <w:b/>
          <w:bCs/>
          <w:sz w:val="24"/>
          <w:szCs w:val="24"/>
        </w:rPr>
        <w:t xml:space="preserve"> </w:t>
      </w:r>
      <w:r w:rsidRPr="00541263">
        <w:rPr>
          <w:rFonts w:asciiTheme="majorBidi" w:hAnsiTheme="majorBidi" w:cstheme="majorBidi"/>
          <w:b/>
          <w:bCs/>
          <w:sz w:val="24"/>
          <w:szCs w:val="24"/>
        </w:rPr>
        <w:t>ketinantiems toliau vykdyti antžeminių lošimų veiklą</w:t>
      </w:r>
      <w:r w:rsidR="00F90E6C">
        <w:rPr>
          <w:rFonts w:asciiTheme="majorBidi" w:hAnsiTheme="majorBidi" w:cstheme="majorBidi"/>
          <w:b/>
          <w:bCs/>
          <w:sz w:val="24"/>
          <w:szCs w:val="24"/>
        </w:rPr>
        <w:t xml:space="preserve">: </w:t>
      </w:r>
    </w:p>
    <w:p w14:paraId="63116F93" w14:textId="01DFD487" w:rsidR="0076325D" w:rsidRPr="00541263" w:rsidRDefault="0076325D"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B</w:t>
      </w:r>
      <w:r w:rsidR="00B64564" w:rsidRPr="00541263">
        <w:rPr>
          <w:rFonts w:asciiTheme="majorBidi" w:hAnsiTheme="majorBidi" w:cstheme="majorBidi"/>
          <w:sz w:val="24"/>
          <w:szCs w:val="24"/>
        </w:rPr>
        <w:t>endrovė</w:t>
      </w:r>
      <w:r w:rsidR="00BB38FD" w:rsidRPr="00541263">
        <w:rPr>
          <w:rFonts w:asciiTheme="majorBidi" w:hAnsiTheme="majorBidi" w:cstheme="majorBidi"/>
          <w:sz w:val="24"/>
          <w:szCs w:val="24"/>
        </w:rPr>
        <w:t>s</w:t>
      </w:r>
      <w:r w:rsidR="00B64564" w:rsidRPr="00541263">
        <w:rPr>
          <w:rFonts w:asciiTheme="majorBidi" w:hAnsiTheme="majorBidi" w:cstheme="majorBidi"/>
          <w:sz w:val="24"/>
          <w:szCs w:val="24"/>
        </w:rPr>
        <w:t>, siekian</w:t>
      </w:r>
      <w:r w:rsidR="00BB38FD" w:rsidRPr="00541263">
        <w:rPr>
          <w:rFonts w:asciiTheme="majorBidi" w:hAnsiTheme="majorBidi" w:cstheme="majorBidi"/>
          <w:sz w:val="24"/>
          <w:szCs w:val="24"/>
        </w:rPr>
        <w:t>čios</w:t>
      </w:r>
      <w:r w:rsidR="00B64564" w:rsidRPr="00541263">
        <w:rPr>
          <w:rFonts w:asciiTheme="majorBidi" w:hAnsiTheme="majorBidi" w:cstheme="majorBidi"/>
          <w:sz w:val="24"/>
          <w:szCs w:val="24"/>
        </w:rPr>
        <w:t xml:space="preserve"> tęsti lošimų organizavimo veiklą iki šio įstatymo įsigaliojimo išduotuose leidimuose atidaryti automatų ar bingo salonus, lošimo namus (kazino), steigti lažybų ir totalizatoriaus punktus, įskaitant žirgų totalizatoriaus punktus, nurodytose lošimų organizavimo vietose po 2027 m. liepos 1 d.</w:t>
      </w:r>
      <w:r w:rsidR="00577E8C" w:rsidRPr="00541263">
        <w:rPr>
          <w:rFonts w:asciiTheme="majorBidi" w:hAnsiTheme="majorBidi" w:cstheme="majorBidi"/>
          <w:sz w:val="24"/>
          <w:szCs w:val="24"/>
        </w:rPr>
        <w:t>,</w:t>
      </w:r>
      <w:r w:rsidR="00590E8C" w:rsidRPr="00541263">
        <w:rPr>
          <w:rFonts w:asciiTheme="majorBidi" w:hAnsiTheme="majorBidi" w:cstheme="majorBidi"/>
          <w:sz w:val="24"/>
          <w:szCs w:val="24"/>
        </w:rPr>
        <w:t xml:space="preserve"> ne anksčiau kaip likus 30 darbo dienų iki 2027 m. balandžio 1 d. ir ne vėliau kaip iki 2027 m. balandžio 1 d. imtinai, Priežiūros tarnybai turi pateikti</w:t>
      </w:r>
      <w:r w:rsidRPr="00541263">
        <w:rPr>
          <w:rFonts w:asciiTheme="majorBidi" w:hAnsiTheme="majorBidi" w:cstheme="majorBidi"/>
          <w:sz w:val="24"/>
          <w:szCs w:val="24"/>
        </w:rPr>
        <w:t>:</w:t>
      </w:r>
    </w:p>
    <w:p w14:paraId="34D263E9" w14:textId="2D4BD56E" w:rsidR="00590E8C" w:rsidRPr="00541263" w:rsidRDefault="00B64564" w:rsidP="00541263">
      <w:pPr>
        <w:pStyle w:val="Sraopastraipa"/>
        <w:numPr>
          <w:ilvl w:val="0"/>
          <w:numId w:val="1"/>
        </w:numPr>
        <w:spacing w:line="240" w:lineRule="auto"/>
        <w:jc w:val="both"/>
        <w:rPr>
          <w:rFonts w:asciiTheme="majorBidi" w:hAnsiTheme="majorBidi" w:cstheme="majorBidi"/>
          <w:sz w:val="24"/>
          <w:szCs w:val="24"/>
        </w:rPr>
      </w:pPr>
      <w:r w:rsidRPr="00541263">
        <w:rPr>
          <w:rFonts w:asciiTheme="majorBidi" w:hAnsiTheme="majorBidi" w:cstheme="majorBidi"/>
          <w:sz w:val="24"/>
          <w:szCs w:val="24"/>
        </w:rPr>
        <w:t>prašymą pratęsti leidimo galiojimo terminą, kuriame nurodomas lošimo organizavimo vietos adresas</w:t>
      </w:r>
      <w:r w:rsidR="00590E8C" w:rsidRPr="00541263">
        <w:rPr>
          <w:rFonts w:asciiTheme="majorBidi" w:hAnsiTheme="majorBidi" w:cstheme="majorBidi"/>
          <w:sz w:val="24"/>
          <w:szCs w:val="24"/>
        </w:rPr>
        <w:t>;</w:t>
      </w:r>
    </w:p>
    <w:p w14:paraId="3E1F5532" w14:textId="2BC25AB2" w:rsidR="00EA46C2" w:rsidRPr="00541263" w:rsidRDefault="00B64564" w:rsidP="00541263">
      <w:pPr>
        <w:pStyle w:val="Sraopastraipa"/>
        <w:numPr>
          <w:ilvl w:val="0"/>
          <w:numId w:val="1"/>
        </w:numPr>
        <w:spacing w:line="240" w:lineRule="auto"/>
        <w:jc w:val="both"/>
        <w:rPr>
          <w:rFonts w:asciiTheme="majorBidi" w:hAnsiTheme="majorBidi" w:cstheme="majorBidi"/>
          <w:sz w:val="24"/>
          <w:szCs w:val="24"/>
        </w:rPr>
      </w:pPr>
      <w:r w:rsidRPr="00541263">
        <w:rPr>
          <w:rFonts w:asciiTheme="majorBidi" w:hAnsiTheme="majorBidi" w:cstheme="majorBidi"/>
          <w:sz w:val="24"/>
          <w:szCs w:val="24"/>
        </w:rPr>
        <w:t>savivaldybės tarybos sutikimą tęsti lošimų veiklą šioje vietoje.</w:t>
      </w:r>
      <w:r w:rsidR="004A19A1" w:rsidRPr="00541263">
        <w:rPr>
          <w:rFonts w:asciiTheme="majorBidi" w:hAnsiTheme="majorBidi" w:cstheme="majorBidi"/>
          <w:sz w:val="24"/>
          <w:szCs w:val="24"/>
        </w:rPr>
        <w:t xml:space="preserve"> </w:t>
      </w:r>
    </w:p>
    <w:p w14:paraId="581F5B37" w14:textId="17C3BB9D" w:rsidR="00BB38FD" w:rsidRPr="00541263" w:rsidRDefault="0076325D"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P</w:t>
      </w:r>
      <w:r w:rsidR="00CD2FC6" w:rsidRPr="00541263">
        <w:rPr>
          <w:rFonts w:asciiTheme="majorBidi" w:hAnsiTheme="majorBidi" w:cstheme="majorBidi"/>
          <w:sz w:val="24"/>
          <w:szCs w:val="24"/>
        </w:rPr>
        <w:t>agal</w:t>
      </w:r>
      <w:r w:rsidR="005F2D74" w:rsidRPr="00541263">
        <w:rPr>
          <w:rFonts w:asciiTheme="majorBidi" w:hAnsiTheme="majorBidi" w:cstheme="majorBidi"/>
          <w:sz w:val="24"/>
          <w:szCs w:val="24"/>
        </w:rPr>
        <w:t xml:space="preserve"> </w:t>
      </w:r>
      <w:r w:rsidR="00B91C4A" w:rsidRPr="00541263">
        <w:rPr>
          <w:rFonts w:asciiTheme="majorBidi" w:hAnsiTheme="majorBidi" w:cstheme="majorBidi"/>
          <w:sz w:val="24"/>
          <w:szCs w:val="24"/>
        </w:rPr>
        <w:t>Azartinių lošimų įstatym</w:t>
      </w:r>
      <w:r w:rsidRPr="00541263">
        <w:rPr>
          <w:rFonts w:asciiTheme="majorBidi" w:hAnsiTheme="majorBidi" w:cstheme="majorBidi"/>
          <w:sz w:val="24"/>
          <w:szCs w:val="24"/>
        </w:rPr>
        <w:t>o</w:t>
      </w:r>
      <w:r w:rsidR="00B91C4A" w:rsidRPr="00541263">
        <w:rPr>
          <w:rFonts w:asciiTheme="majorBidi" w:hAnsiTheme="majorBidi" w:cstheme="majorBidi"/>
          <w:sz w:val="24"/>
          <w:szCs w:val="24"/>
        </w:rPr>
        <w:t xml:space="preserve"> </w:t>
      </w:r>
      <w:r w:rsidR="00BB38FD" w:rsidRPr="00541263">
        <w:rPr>
          <w:rFonts w:asciiTheme="majorBidi" w:hAnsiTheme="majorBidi" w:cstheme="majorBidi"/>
          <w:sz w:val="24"/>
          <w:szCs w:val="24"/>
        </w:rPr>
        <w:t>24</w:t>
      </w:r>
      <w:r w:rsidR="00BB38FD" w:rsidRPr="00541263">
        <w:rPr>
          <w:rFonts w:asciiTheme="majorBidi" w:hAnsiTheme="majorBidi" w:cstheme="majorBidi"/>
          <w:sz w:val="24"/>
          <w:szCs w:val="24"/>
          <w:vertAlign w:val="superscript"/>
        </w:rPr>
        <w:t>1</w:t>
      </w:r>
      <w:r w:rsidR="00BB38FD" w:rsidRPr="00541263">
        <w:rPr>
          <w:rFonts w:asciiTheme="majorBidi" w:hAnsiTheme="majorBidi" w:cstheme="majorBidi"/>
          <w:sz w:val="24"/>
          <w:szCs w:val="24"/>
        </w:rPr>
        <w:t xml:space="preserve"> straipsn</w:t>
      </w:r>
      <w:r w:rsidR="005F2D74" w:rsidRPr="00541263">
        <w:rPr>
          <w:rFonts w:asciiTheme="majorBidi" w:hAnsiTheme="majorBidi" w:cstheme="majorBidi"/>
          <w:sz w:val="24"/>
          <w:szCs w:val="24"/>
        </w:rPr>
        <w:t>io 1 dal</w:t>
      </w:r>
      <w:r w:rsidR="00CD2FC6" w:rsidRPr="00541263">
        <w:rPr>
          <w:rFonts w:asciiTheme="majorBidi" w:hAnsiTheme="majorBidi" w:cstheme="majorBidi"/>
          <w:sz w:val="24"/>
          <w:szCs w:val="24"/>
        </w:rPr>
        <w:t>į</w:t>
      </w:r>
      <w:r w:rsidR="005F2D74" w:rsidRPr="00541263">
        <w:rPr>
          <w:rFonts w:asciiTheme="majorBidi" w:hAnsiTheme="majorBidi" w:cstheme="majorBidi"/>
          <w:sz w:val="24"/>
          <w:szCs w:val="24"/>
        </w:rPr>
        <w:t xml:space="preserve"> l</w:t>
      </w:r>
      <w:r w:rsidR="00BB38FD" w:rsidRPr="00541263">
        <w:rPr>
          <w:rFonts w:asciiTheme="majorBidi" w:hAnsiTheme="majorBidi" w:cstheme="majorBidi"/>
          <w:sz w:val="24"/>
          <w:szCs w:val="24"/>
        </w:rPr>
        <w:t xml:space="preserve">eidimai atidaryti automatų ar bingo salonus, lošimo namus (kazino), leidimai steigti lažybų ir totalizatoriaus punktus, įskaitant žirgų totalizatoriaus punktus, </w:t>
      </w:r>
      <w:r w:rsidR="005F2D74" w:rsidRPr="00541263">
        <w:rPr>
          <w:rFonts w:asciiTheme="majorBidi" w:hAnsiTheme="majorBidi" w:cstheme="majorBidi"/>
          <w:sz w:val="24"/>
          <w:szCs w:val="24"/>
        </w:rPr>
        <w:t xml:space="preserve">išduoti po 2022 m. liepos 1 d., </w:t>
      </w:r>
      <w:r w:rsidR="00BB38FD" w:rsidRPr="00541263">
        <w:rPr>
          <w:rFonts w:asciiTheme="majorBidi" w:hAnsiTheme="majorBidi" w:cstheme="majorBidi"/>
          <w:sz w:val="24"/>
          <w:szCs w:val="24"/>
        </w:rPr>
        <w:t xml:space="preserve">galioja 5 metus nuo Priežiūros tarnybos sprendimo išduoti leidimą priėmimo dienos. Leidimo galiojimo terminą Priežiūros tarnyba gali pratęsti neribotą kartų </w:t>
      </w:r>
      <w:r w:rsidR="00BB38FD" w:rsidRPr="00541263">
        <w:rPr>
          <w:rFonts w:asciiTheme="majorBidi" w:hAnsiTheme="majorBidi" w:cstheme="majorBidi"/>
          <w:sz w:val="24"/>
          <w:szCs w:val="24"/>
        </w:rPr>
        <w:lastRenderedPageBreak/>
        <w:t>skaičių ir kiekvieną kartą 5 metų terminui, išskyrus atvejus, kai bendrovė pageidauja gauti leidimą trumpesniam negu 5 metų terminui.</w:t>
      </w:r>
      <w:r w:rsidR="005F2D74" w:rsidRPr="00541263">
        <w:rPr>
          <w:rFonts w:asciiTheme="majorBidi" w:hAnsiTheme="majorBidi" w:cstheme="majorBidi"/>
          <w:sz w:val="24"/>
          <w:szCs w:val="24"/>
        </w:rPr>
        <w:t xml:space="preserve"> </w:t>
      </w:r>
    </w:p>
    <w:p w14:paraId="45FB27B8" w14:textId="0D7CB109" w:rsidR="00BB38FD" w:rsidRPr="00541263" w:rsidRDefault="00BB38FD"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 xml:space="preserve">Priežiūros tarnybos sprendimai dėl </w:t>
      </w:r>
      <w:r w:rsidR="0076325D" w:rsidRPr="00541263">
        <w:rPr>
          <w:rFonts w:asciiTheme="majorBidi" w:hAnsiTheme="majorBidi" w:cstheme="majorBidi"/>
          <w:sz w:val="24"/>
          <w:szCs w:val="24"/>
        </w:rPr>
        <w:t>24</w:t>
      </w:r>
      <w:r w:rsidR="0076325D" w:rsidRPr="00541263">
        <w:rPr>
          <w:rFonts w:asciiTheme="majorBidi" w:hAnsiTheme="majorBidi" w:cstheme="majorBidi"/>
          <w:sz w:val="24"/>
          <w:szCs w:val="24"/>
          <w:vertAlign w:val="superscript"/>
        </w:rPr>
        <w:t xml:space="preserve">1 </w:t>
      </w:r>
      <w:r w:rsidRPr="00541263">
        <w:rPr>
          <w:rFonts w:asciiTheme="majorBidi" w:hAnsiTheme="majorBidi" w:cstheme="majorBidi"/>
          <w:sz w:val="24"/>
          <w:szCs w:val="24"/>
        </w:rPr>
        <w:t>straipsnio 1 dalyje nurodytų leidimų išdavimo ar jų galiojimo termino pratęsimo gali būti priimami tik bendrovei gavus savivaldybės, kurios teritorijoje ketinama atidaryti ar steigti lošimų organizavimo vietą ar ketinama tęsti lošimų organizavimo veiklą lošimų organizavimo vietoje, tarybos sutikimą. Savivaldybės tarybos sutikimas turi būti išduotas ne anksčiau kaip prieš 2 mėnesius iki prašymo išduoti šio straipsnio 1 dalyje nurodytą leidimą ar pratęsti leidimo galiojimo terminą pateikimo Priežiūros tarnybai dienos. Savivaldybės taryba, nagrinėdama bendrovės prašymą išduoti sutikimą atidaryti ar steigti lošimų organizavimo vietą ar tęsti lošimų organizavimo veiklą lošimų organizavimo vietoje, vadovaujasi konkrečios lošimų organizavimo vietos poveikio viešajai tvarkai, švietimui, kultūrai, visuomenės sveikatai, gyvenamajai aplinkai ir kriminogeninei situacijai vertinimo kriterijais. Lošimų organizavimo vietos poveikio viešajai tvarkai, švietimui, kultūrai, visuomenės sveikatai, gyvenamajai aplinkai ir kriminogeninei situacijai konkrečius vertinimo kriterijus ir prašymų nagrinėjimo tvarką nustato savivaldybių tarybos.</w:t>
      </w:r>
    </w:p>
    <w:p w14:paraId="6FAA0871" w14:textId="2A1E90EA" w:rsidR="00BB38FD" w:rsidRPr="00541263" w:rsidRDefault="00BB38FD"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Priežiūros tarnyba ne vėliau kaip per 9 darbo dienas nuo prašymo pratęsti leidimo galiojimo terminą gavimo dienos išnagrinėjusi bendrovės prašymą priima sprendimą pratęsti leidimo galiojimo terminą arba sprendimą atsisakyti pratęsti leidimo galiojimo terminą ir ne vėliau kaip per vieną darbo dieną po sprendimo priėmimo bendrovei praneša apie priimtą sprendimą.</w:t>
      </w:r>
    </w:p>
    <w:p w14:paraId="1F33B973" w14:textId="77777777" w:rsidR="006D7A4A" w:rsidRPr="00541263" w:rsidRDefault="00BB38FD"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Sprendimas atsisakyti išduoti leidimą priimamas, jeigu bendrovė su prašymu nepateikia savivaldybės tarybos sutikimo dėl lošimų organizavimo prašyme nurodytoje vietoje. Sprendimas atsisakyti pratęsti leidimo galiojimo terminą priimamas, jeigu bendrovė su prašymu nepateikia atnaujinto savivaldybės tarybos sutikimo dėl lošimų organizavimo prašyme nurodytoje vietoje.</w:t>
      </w:r>
    </w:p>
    <w:p w14:paraId="66432AD7" w14:textId="77777777" w:rsidR="00070165" w:rsidRDefault="00541263" w:rsidP="00070165">
      <w:pPr>
        <w:spacing w:before="240" w:line="240" w:lineRule="auto"/>
        <w:jc w:val="both"/>
        <w:rPr>
          <w:rFonts w:asciiTheme="majorBidi" w:hAnsiTheme="majorBidi" w:cstheme="majorBidi"/>
          <w:b/>
          <w:bCs/>
          <w:sz w:val="24"/>
          <w:szCs w:val="24"/>
        </w:rPr>
      </w:pPr>
      <w:r w:rsidRPr="00541263">
        <w:rPr>
          <w:rFonts w:asciiTheme="majorBidi" w:hAnsiTheme="majorBidi" w:cstheme="majorBidi"/>
          <w:b/>
          <w:bCs/>
          <w:sz w:val="24"/>
          <w:szCs w:val="24"/>
        </w:rPr>
        <w:t xml:space="preserve">Lošimų organizatoriams, ketinantiems toliau vykdyti nuotolinių lošimų </w:t>
      </w:r>
      <w:r w:rsidR="00F90E6C">
        <w:rPr>
          <w:rFonts w:asciiTheme="majorBidi" w:hAnsiTheme="majorBidi" w:cstheme="majorBidi"/>
          <w:b/>
          <w:bCs/>
          <w:sz w:val="24"/>
          <w:szCs w:val="24"/>
        </w:rPr>
        <w:t xml:space="preserve">veiklą: </w:t>
      </w:r>
    </w:p>
    <w:p w14:paraId="2E7AD30C" w14:textId="7EE9B149" w:rsidR="0024334D" w:rsidRPr="00541263" w:rsidRDefault="0024334D"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B</w:t>
      </w:r>
      <w:r w:rsidR="006D7A4A" w:rsidRPr="00541263">
        <w:rPr>
          <w:rFonts w:asciiTheme="majorBidi" w:hAnsiTheme="majorBidi" w:cstheme="majorBidi"/>
          <w:sz w:val="24"/>
          <w:szCs w:val="24"/>
        </w:rPr>
        <w:t>endrovės, kurioms leidimas organizuoti nuotolinius lošimus išduotas iki ALĮ pakeitimo įstatymo įsigaliojimo ir kurios siekia tęsti nuotolinių lošimų organizavimo veiklą po 2027 m. liepos 1 d.</w:t>
      </w:r>
      <w:r w:rsidR="00577E8C" w:rsidRPr="00541263">
        <w:rPr>
          <w:rFonts w:asciiTheme="majorBidi" w:hAnsiTheme="majorBidi" w:cstheme="majorBidi"/>
          <w:sz w:val="24"/>
          <w:szCs w:val="24"/>
        </w:rPr>
        <w:t>, ne vėliau kaip iki 2027 m. balandžio 1 d. Priežiūros tarnybai turi pateikti</w:t>
      </w:r>
      <w:r w:rsidRPr="00541263">
        <w:rPr>
          <w:rFonts w:asciiTheme="majorBidi" w:hAnsiTheme="majorBidi" w:cstheme="majorBidi"/>
          <w:sz w:val="24"/>
          <w:szCs w:val="24"/>
        </w:rPr>
        <w:t>:</w:t>
      </w:r>
      <w:r w:rsidR="006D7A4A" w:rsidRPr="00541263">
        <w:rPr>
          <w:rFonts w:asciiTheme="majorBidi" w:hAnsiTheme="majorBidi" w:cstheme="majorBidi"/>
          <w:sz w:val="24"/>
          <w:szCs w:val="24"/>
        </w:rPr>
        <w:t xml:space="preserve"> </w:t>
      </w:r>
    </w:p>
    <w:p w14:paraId="5CB21C96" w14:textId="3CBA9BE7" w:rsidR="00577E8C" w:rsidRPr="00541263" w:rsidRDefault="006D7A4A" w:rsidP="00541263">
      <w:pPr>
        <w:pStyle w:val="Sraopastraipa"/>
        <w:numPr>
          <w:ilvl w:val="0"/>
          <w:numId w:val="1"/>
        </w:numPr>
        <w:spacing w:line="240" w:lineRule="auto"/>
        <w:jc w:val="both"/>
        <w:rPr>
          <w:rFonts w:asciiTheme="majorBidi" w:hAnsiTheme="majorBidi" w:cstheme="majorBidi"/>
          <w:sz w:val="24"/>
          <w:szCs w:val="24"/>
        </w:rPr>
      </w:pPr>
      <w:r w:rsidRPr="00541263">
        <w:rPr>
          <w:rFonts w:asciiTheme="majorBidi" w:hAnsiTheme="majorBidi" w:cstheme="majorBidi"/>
          <w:sz w:val="24"/>
          <w:szCs w:val="24"/>
        </w:rPr>
        <w:t>prašymą išduoti licenciją organizuoti nuotolinius lošimus</w:t>
      </w:r>
      <w:r w:rsidR="00577E8C" w:rsidRPr="00541263">
        <w:rPr>
          <w:rFonts w:asciiTheme="majorBidi" w:hAnsiTheme="majorBidi" w:cstheme="majorBidi"/>
          <w:sz w:val="24"/>
          <w:szCs w:val="24"/>
        </w:rPr>
        <w:t>;</w:t>
      </w:r>
      <w:r w:rsidRPr="00541263">
        <w:rPr>
          <w:rFonts w:asciiTheme="majorBidi" w:hAnsiTheme="majorBidi" w:cstheme="majorBidi"/>
          <w:sz w:val="24"/>
          <w:szCs w:val="24"/>
        </w:rPr>
        <w:t xml:space="preserve"> </w:t>
      </w:r>
    </w:p>
    <w:p w14:paraId="02C0D7F1" w14:textId="14E4CCA9" w:rsidR="0024334D" w:rsidRPr="00541263" w:rsidRDefault="006D7A4A" w:rsidP="00541263">
      <w:pPr>
        <w:pStyle w:val="Sraopastraipa"/>
        <w:numPr>
          <w:ilvl w:val="0"/>
          <w:numId w:val="1"/>
        </w:numPr>
        <w:spacing w:line="240" w:lineRule="auto"/>
        <w:jc w:val="both"/>
        <w:rPr>
          <w:rFonts w:asciiTheme="majorBidi" w:hAnsiTheme="majorBidi" w:cstheme="majorBidi"/>
          <w:sz w:val="24"/>
          <w:szCs w:val="24"/>
        </w:rPr>
      </w:pPr>
      <w:r w:rsidRPr="00541263">
        <w:rPr>
          <w:rFonts w:asciiTheme="majorBidi" w:hAnsiTheme="majorBidi" w:cstheme="majorBidi"/>
          <w:sz w:val="24"/>
          <w:szCs w:val="24"/>
        </w:rPr>
        <w:t xml:space="preserve">dokumentus ar duomenis, patvirtinančius, kad bendrovė atitinka </w:t>
      </w:r>
      <w:r w:rsidR="00742C43" w:rsidRPr="00541263">
        <w:rPr>
          <w:rFonts w:asciiTheme="majorBidi" w:hAnsiTheme="majorBidi" w:cstheme="majorBidi"/>
          <w:sz w:val="24"/>
          <w:szCs w:val="24"/>
        </w:rPr>
        <w:t>A</w:t>
      </w:r>
      <w:r w:rsidRPr="00541263">
        <w:rPr>
          <w:rFonts w:asciiTheme="majorBidi" w:hAnsiTheme="majorBidi" w:cstheme="majorBidi"/>
          <w:sz w:val="24"/>
          <w:szCs w:val="24"/>
        </w:rPr>
        <w:t>zartinių lošimų įstatymo 13 straipsnio 2</w:t>
      </w:r>
      <w:r w:rsidRPr="00541263">
        <w:rPr>
          <w:rFonts w:asciiTheme="majorBidi" w:hAnsiTheme="majorBidi" w:cstheme="majorBidi"/>
          <w:sz w:val="24"/>
          <w:szCs w:val="24"/>
          <w:vertAlign w:val="superscript"/>
        </w:rPr>
        <w:t>1</w:t>
      </w:r>
      <w:r w:rsidRPr="00541263">
        <w:rPr>
          <w:rFonts w:asciiTheme="majorBidi" w:hAnsiTheme="majorBidi" w:cstheme="majorBidi"/>
          <w:sz w:val="24"/>
          <w:szCs w:val="24"/>
        </w:rPr>
        <w:t>, 2</w:t>
      </w:r>
      <w:r w:rsidRPr="00541263">
        <w:rPr>
          <w:rFonts w:asciiTheme="majorBidi" w:hAnsiTheme="majorBidi" w:cstheme="majorBidi"/>
          <w:sz w:val="24"/>
          <w:szCs w:val="24"/>
          <w:vertAlign w:val="superscript"/>
        </w:rPr>
        <w:t>2</w:t>
      </w:r>
      <w:r w:rsidRPr="00541263">
        <w:rPr>
          <w:rFonts w:asciiTheme="majorBidi" w:hAnsiTheme="majorBidi" w:cstheme="majorBidi"/>
          <w:sz w:val="24"/>
          <w:szCs w:val="24"/>
        </w:rPr>
        <w:t xml:space="preserve"> ir 2</w:t>
      </w:r>
      <w:r w:rsidRPr="00541263">
        <w:rPr>
          <w:rFonts w:asciiTheme="majorBidi" w:hAnsiTheme="majorBidi" w:cstheme="majorBidi"/>
          <w:sz w:val="24"/>
          <w:szCs w:val="24"/>
          <w:vertAlign w:val="superscript"/>
        </w:rPr>
        <w:t>3</w:t>
      </w:r>
      <w:r w:rsidRPr="00541263">
        <w:rPr>
          <w:rFonts w:asciiTheme="majorBidi" w:hAnsiTheme="majorBidi" w:cstheme="majorBidi"/>
          <w:sz w:val="24"/>
          <w:szCs w:val="24"/>
        </w:rPr>
        <w:t xml:space="preserve"> dalių nuostatas</w:t>
      </w:r>
      <w:r w:rsidR="00577E8C" w:rsidRPr="00541263">
        <w:rPr>
          <w:rFonts w:asciiTheme="majorBidi" w:hAnsiTheme="majorBidi" w:cstheme="majorBidi"/>
          <w:sz w:val="24"/>
          <w:szCs w:val="24"/>
        </w:rPr>
        <w:t>;</w:t>
      </w:r>
      <w:r w:rsidRPr="00541263">
        <w:rPr>
          <w:rFonts w:asciiTheme="majorBidi" w:hAnsiTheme="majorBidi" w:cstheme="majorBidi"/>
          <w:sz w:val="24"/>
          <w:szCs w:val="24"/>
        </w:rPr>
        <w:t xml:space="preserve"> </w:t>
      </w:r>
    </w:p>
    <w:p w14:paraId="3223CFE7" w14:textId="7BDCBD91" w:rsidR="00577E8C" w:rsidRPr="00541263" w:rsidRDefault="00590E8C" w:rsidP="00541263">
      <w:pPr>
        <w:pStyle w:val="Sraopastraipa"/>
        <w:numPr>
          <w:ilvl w:val="0"/>
          <w:numId w:val="1"/>
        </w:numPr>
        <w:spacing w:line="240" w:lineRule="auto"/>
        <w:jc w:val="both"/>
        <w:rPr>
          <w:rFonts w:asciiTheme="majorBidi" w:hAnsiTheme="majorBidi" w:cstheme="majorBidi"/>
          <w:sz w:val="24"/>
          <w:szCs w:val="24"/>
        </w:rPr>
      </w:pPr>
      <w:r w:rsidRPr="00541263">
        <w:rPr>
          <w:rFonts w:asciiTheme="majorBidi" w:hAnsiTheme="majorBidi" w:cstheme="majorBidi"/>
          <w:sz w:val="24"/>
          <w:szCs w:val="24"/>
        </w:rPr>
        <w:t xml:space="preserve">prašymą išduoti </w:t>
      </w:r>
      <w:r w:rsidR="00577E8C" w:rsidRPr="00541263">
        <w:rPr>
          <w:rFonts w:asciiTheme="majorBidi" w:hAnsiTheme="majorBidi" w:cstheme="majorBidi"/>
          <w:sz w:val="24"/>
          <w:szCs w:val="24"/>
        </w:rPr>
        <w:t>leidimą</w:t>
      </w:r>
      <w:r w:rsidRPr="00541263">
        <w:rPr>
          <w:rFonts w:asciiTheme="majorBidi" w:hAnsiTheme="majorBidi" w:cstheme="majorBidi"/>
          <w:sz w:val="24"/>
          <w:szCs w:val="24"/>
        </w:rPr>
        <w:t xml:space="preserve"> organizuoti nuotolinius lošimus</w:t>
      </w:r>
      <w:r w:rsidR="00E52A99" w:rsidRPr="00541263">
        <w:rPr>
          <w:rFonts w:asciiTheme="majorBidi" w:hAnsiTheme="majorBidi" w:cstheme="majorBidi"/>
          <w:sz w:val="24"/>
          <w:szCs w:val="24"/>
        </w:rPr>
        <w:t xml:space="preserve"> (galima pateikti kartu su prašymu išduoti licenciją organizuoti nuotolinius lošimus arba</w:t>
      </w:r>
      <w:r w:rsidR="00F90E6C">
        <w:rPr>
          <w:rFonts w:asciiTheme="majorBidi" w:hAnsiTheme="majorBidi" w:cstheme="majorBidi"/>
          <w:sz w:val="24"/>
          <w:szCs w:val="24"/>
        </w:rPr>
        <w:t xml:space="preserve"> po</w:t>
      </w:r>
      <w:r w:rsidR="00E52A99" w:rsidRPr="00541263">
        <w:rPr>
          <w:rFonts w:asciiTheme="majorBidi" w:hAnsiTheme="majorBidi" w:cstheme="majorBidi"/>
          <w:sz w:val="24"/>
          <w:szCs w:val="24"/>
        </w:rPr>
        <w:t xml:space="preserve"> licencij</w:t>
      </w:r>
      <w:r w:rsidR="00F90E6C">
        <w:rPr>
          <w:rFonts w:asciiTheme="majorBidi" w:hAnsiTheme="majorBidi" w:cstheme="majorBidi"/>
          <w:sz w:val="24"/>
          <w:szCs w:val="24"/>
        </w:rPr>
        <w:t>os</w:t>
      </w:r>
      <w:r w:rsidR="00E52A99" w:rsidRPr="00541263">
        <w:rPr>
          <w:rFonts w:asciiTheme="majorBidi" w:hAnsiTheme="majorBidi" w:cstheme="majorBidi"/>
          <w:sz w:val="24"/>
          <w:szCs w:val="24"/>
        </w:rPr>
        <w:t xml:space="preserve"> išd</w:t>
      </w:r>
      <w:r w:rsidR="00F90E6C">
        <w:rPr>
          <w:rFonts w:asciiTheme="majorBidi" w:hAnsiTheme="majorBidi" w:cstheme="majorBidi"/>
          <w:sz w:val="24"/>
          <w:szCs w:val="24"/>
        </w:rPr>
        <w:t>avimo</w:t>
      </w:r>
      <w:r w:rsidR="00E52A99" w:rsidRPr="00541263">
        <w:rPr>
          <w:rFonts w:asciiTheme="majorBidi" w:hAnsiTheme="majorBidi" w:cstheme="majorBidi"/>
          <w:sz w:val="24"/>
          <w:szCs w:val="24"/>
        </w:rPr>
        <w:t>)</w:t>
      </w:r>
      <w:r w:rsidR="00577E8C" w:rsidRPr="00541263">
        <w:rPr>
          <w:rFonts w:asciiTheme="majorBidi" w:hAnsiTheme="majorBidi" w:cstheme="majorBidi"/>
          <w:sz w:val="24"/>
          <w:szCs w:val="24"/>
        </w:rPr>
        <w:t>;</w:t>
      </w:r>
    </w:p>
    <w:p w14:paraId="488BB731" w14:textId="0D69CF3E" w:rsidR="0024334D" w:rsidRPr="00541263" w:rsidRDefault="00577E8C" w:rsidP="00541263">
      <w:pPr>
        <w:pStyle w:val="Sraopastraipa"/>
        <w:numPr>
          <w:ilvl w:val="0"/>
          <w:numId w:val="1"/>
        </w:numPr>
        <w:spacing w:line="240" w:lineRule="auto"/>
        <w:jc w:val="both"/>
        <w:rPr>
          <w:rFonts w:asciiTheme="majorBidi" w:hAnsiTheme="majorBidi" w:cstheme="majorBidi"/>
          <w:sz w:val="24"/>
          <w:szCs w:val="24"/>
        </w:rPr>
      </w:pPr>
      <w:r w:rsidRPr="00541263">
        <w:rPr>
          <w:rFonts w:asciiTheme="majorBidi" w:hAnsiTheme="majorBidi" w:cstheme="majorBidi"/>
          <w:sz w:val="24"/>
          <w:szCs w:val="24"/>
        </w:rPr>
        <w:t>nuotolinių lošimų organizavimo reglamentą</w:t>
      </w:r>
      <w:r w:rsidR="00E52A99" w:rsidRPr="00541263">
        <w:rPr>
          <w:rFonts w:asciiTheme="majorBidi" w:hAnsiTheme="majorBidi" w:cstheme="majorBidi"/>
          <w:sz w:val="24"/>
          <w:szCs w:val="24"/>
        </w:rPr>
        <w:t xml:space="preserve"> (tuo atveju, jei </w:t>
      </w:r>
      <w:r w:rsidR="00F90E6C">
        <w:rPr>
          <w:rFonts w:asciiTheme="majorBidi" w:hAnsiTheme="majorBidi" w:cstheme="majorBidi"/>
          <w:sz w:val="24"/>
          <w:szCs w:val="24"/>
        </w:rPr>
        <w:t xml:space="preserve">bendrovė nurodys, kad </w:t>
      </w:r>
      <w:r w:rsidR="00E52A99" w:rsidRPr="00541263">
        <w:rPr>
          <w:rFonts w:asciiTheme="majorBidi" w:hAnsiTheme="majorBidi" w:cstheme="majorBidi"/>
          <w:sz w:val="24"/>
          <w:szCs w:val="24"/>
        </w:rPr>
        <w:t xml:space="preserve">Priežiūros tarnybos patvirtintas </w:t>
      </w:r>
      <w:r w:rsidR="00F90E6C" w:rsidRPr="00F90E6C">
        <w:rPr>
          <w:rFonts w:asciiTheme="majorBidi" w:hAnsiTheme="majorBidi" w:cstheme="majorBidi"/>
          <w:sz w:val="24"/>
          <w:szCs w:val="24"/>
        </w:rPr>
        <w:t>nuotolinio lošimo organizavimo reglamentas</w:t>
      </w:r>
      <w:r w:rsidR="00F90E6C">
        <w:rPr>
          <w:rFonts w:asciiTheme="majorBidi" w:hAnsiTheme="majorBidi" w:cstheme="majorBidi"/>
          <w:sz w:val="24"/>
          <w:szCs w:val="24"/>
        </w:rPr>
        <w:t xml:space="preserve"> nekeičiamas,</w:t>
      </w:r>
      <w:r w:rsidR="00E52A99" w:rsidRPr="00541263">
        <w:rPr>
          <w:rFonts w:asciiTheme="majorBidi" w:hAnsiTheme="majorBidi" w:cstheme="majorBidi"/>
          <w:sz w:val="24"/>
          <w:szCs w:val="24"/>
        </w:rPr>
        <w:t xml:space="preserve"> jo papildomai teikti nereikia)</w:t>
      </w:r>
      <w:r w:rsidR="00590E8C" w:rsidRPr="00541263">
        <w:rPr>
          <w:rFonts w:asciiTheme="majorBidi" w:hAnsiTheme="majorBidi" w:cstheme="majorBidi"/>
          <w:sz w:val="24"/>
          <w:szCs w:val="24"/>
        </w:rPr>
        <w:t>.</w:t>
      </w:r>
    </w:p>
    <w:p w14:paraId="1F3C8549" w14:textId="2A3443B1" w:rsidR="006D7A4A" w:rsidRPr="00F90E6C" w:rsidRDefault="006D7A4A" w:rsidP="00541263">
      <w:pPr>
        <w:spacing w:line="240" w:lineRule="auto"/>
        <w:jc w:val="both"/>
        <w:rPr>
          <w:rFonts w:asciiTheme="majorBidi" w:hAnsiTheme="majorBidi" w:cstheme="majorBidi"/>
          <w:sz w:val="24"/>
          <w:szCs w:val="24"/>
        </w:rPr>
      </w:pPr>
      <w:r w:rsidRPr="00541263">
        <w:rPr>
          <w:rFonts w:asciiTheme="majorBidi" w:hAnsiTheme="majorBidi" w:cstheme="majorBidi"/>
          <w:sz w:val="24"/>
          <w:szCs w:val="24"/>
        </w:rPr>
        <w:t xml:space="preserve">Vadovaujantis </w:t>
      </w:r>
      <w:r w:rsidR="00B91C4A" w:rsidRPr="00541263">
        <w:rPr>
          <w:rFonts w:asciiTheme="majorBidi" w:hAnsiTheme="majorBidi" w:cstheme="majorBidi"/>
          <w:sz w:val="24"/>
          <w:szCs w:val="24"/>
        </w:rPr>
        <w:t>A</w:t>
      </w:r>
      <w:r w:rsidRPr="00541263">
        <w:rPr>
          <w:rFonts w:asciiTheme="majorBidi" w:hAnsiTheme="majorBidi" w:cstheme="majorBidi"/>
          <w:sz w:val="24"/>
          <w:szCs w:val="24"/>
        </w:rPr>
        <w:t>zartinių lošimų įstatymo 6 straipsnio 7 dalimi, licencija organizuoti lošimus išduodama arba rašytinis motyvuotas atsisakymas išduoti licenciją pateikiamas per 30 dienų nuo visų tinkamai įformintų dokumentų, kurių reikia licencijai išduoti, ir šio straipsnio 5 dalyje nurodytų institucijų išvadų ir informacijos gavimo Priežiūros tarnyboje dienos.</w:t>
      </w:r>
    </w:p>
    <w:p w14:paraId="1C16F712" w14:textId="3AB4DF0D" w:rsidR="0034687B" w:rsidRDefault="0034687B" w:rsidP="00541263">
      <w:pPr>
        <w:spacing w:line="240" w:lineRule="auto"/>
        <w:jc w:val="both"/>
        <w:rPr>
          <w:rFonts w:asciiTheme="majorBidi" w:hAnsiTheme="majorBidi" w:cstheme="majorBidi"/>
          <w:sz w:val="24"/>
          <w:szCs w:val="24"/>
        </w:rPr>
      </w:pPr>
      <w:r w:rsidRPr="00F90E6C">
        <w:rPr>
          <w:rFonts w:asciiTheme="majorBidi" w:hAnsiTheme="majorBidi" w:cstheme="majorBidi"/>
          <w:sz w:val="24"/>
          <w:szCs w:val="24"/>
        </w:rPr>
        <w:t>Pagal Azartinių lošimų įstatymo 21 straipsnio 6 dalį prašymas išduoti leidimą organizuoti nuotolinius lošimus turi būti išnagrinėtas per 30 kalendorinių dienų nuo jo gavimo dienos. Jeigu pareikalaujama papildomų dokumentų ir informacijos, 30 dienų laikotarpis skaičiuojamas iš naujo nuo papildomos informacijos arba paaiškinimų bei pataisų pateikimo dienos. Bendras leidimo išdavimo laikotarpis neturi viršyti 60 kalendorinių dienų, skaičiuojant nuo tos dienos, kurią buvo pirmą kartą pateikti visi reikiami dokumentai ir duomenys.</w:t>
      </w:r>
    </w:p>
    <w:p w14:paraId="2096C401" w14:textId="77777777" w:rsidR="00542586" w:rsidRPr="00F90E6C" w:rsidRDefault="00542586" w:rsidP="00541263">
      <w:pPr>
        <w:spacing w:line="240" w:lineRule="auto"/>
        <w:jc w:val="both"/>
        <w:rPr>
          <w:rFonts w:asciiTheme="majorBidi" w:hAnsiTheme="majorBidi" w:cstheme="majorBidi"/>
          <w:sz w:val="24"/>
          <w:szCs w:val="24"/>
        </w:rPr>
      </w:pPr>
    </w:p>
    <w:p w14:paraId="302D7173" w14:textId="0917BF46" w:rsidR="0034687B" w:rsidRPr="00F90E6C" w:rsidRDefault="0034687B" w:rsidP="00541263">
      <w:pPr>
        <w:spacing w:line="240" w:lineRule="auto"/>
        <w:jc w:val="both"/>
        <w:rPr>
          <w:rFonts w:asciiTheme="majorBidi" w:hAnsiTheme="majorBidi" w:cstheme="majorBidi"/>
          <w:sz w:val="24"/>
          <w:szCs w:val="24"/>
        </w:rPr>
      </w:pPr>
      <w:hyperlink r:id="rId6" w:history="1">
        <w:r w:rsidRPr="00F90E6C">
          <w:rPr>
            <w:rStyle w:val="Hipersaitas"/>
            <w:rFonts w:asciiTheme="majorBidi" w:hAnsiTheme="majorBidi" w:cstheme="majorBidi"/>
            <w:sz w:val="24"/>
            <w:szCs w:val="24"/>
          </w:rPr>
          <w:t>Lietuvos Respublikos loterijų ir lošimų mokesčio įstatymo</w:t>
        </w:r>
      </w:hyperlink>
      <w:r w:rsidRPr="00F90E6C">
        <w:rPr>
          <w:rFonts w:asciiTheme="majorBidi" w:hAnsiTheme="majorBidi" w:cstheme="majorBidi"/>
          <w:sz w:val="24"/>
          <w:szCs w:val="24"/>
        </w:rPr>
        <w:t xml:space="preserve"> 5</w:t>
      </w:r>
      <w:r w:rsidRPr="00F90E6C">
        <w:rPr>
          <w:rFonts w:asciiTheme="majorBidi" w:hAnsiTheme="majorBidi" w:cstheme="majorBidi"/>
          <w:sz w:val="24"/>
          <w:szCs w:val="24"/>
          <w:vertAlign w:val="superscript"/>
        </w:rPr>
        <w:t>1</w:t>
      </w:r>
      <w:r w:rsidRPr="00F90E6C">
        <w:rPr>
          <w:rFonts w:asciiTheme="majorBidi" w:hAnsiTheme="majorBidi" w:cstheme="majorBidi"/>
          <w:sz w:val="24"/>
          <w:szCs w:val="24"/>
        </w:rPr>
        <w:t xml:space="preserve"> straipsnio 6 punkt</w:t>
      </w:r>
      <w:r w:rsidR="00885F4E" w:rsidRPr="00F90E6C">
        <w:rPr>
          <w:rFonts w:asciiTheme="majorBidi" w:hAnsiTheme="majorBidi" w:cstheme="majorBidi"/>
          <w:sz w:val="24"/>
          <w:szCs w:val="24"/>
        </w:rPr>
        <w:t>e nustatyta, kad</w:t>
      </w:r>
      <w:r w:rsidRPr="00F90E6C">
        <w:rPr>
          <w:rFonts w:asciiTheme="majorBidi" w:hAnsiTheme="majorBidi" w:cstheme="majorBidi"/>
          <w:sz w:val="24"/>
          <w:szCs w:val="24"/>
        </w:rPr>
        <w:t xml:space="preserve"> už licencijos organizuoti nuotolinius lošimus išdavimą </w:t>
      </w:r>
      <w:r w:rsidR="00885F4E" w:rsidRPr="00F90E6C">
        <w:rPr>
          <w:rFonts w:asciiTheme="majorBidi" w:hAnsiTheme="majorBidi" w:cstheme="majorBidi"/>
          <w:sz w:val="24"/>
          <w:szCs w:val="24"/>
        </w:rPr>
        <w:t xml:space="preserve">turi būti sumokėtas vienkartinis </w:t>
      </w:r>
      <w:r w:rsidRPr="00F90E6C">
        <w:rPr>
          <w:rFonts w:asciiTheme="majorBidi" w:hAnsiTheme="majorBidi" w:cstheme="majorBidi"/>
          <w:sz w:val="24"/>
          <w:szCs w:val="24"/>
        </w:rPr>
        <w:t>500 000 eurų</w:t>
      </w:r>
      <w:r w:rsidR="00885F4E" w:rsidRPr="00F90E6C">
        <w:rPr>
          <w:rFonts w:asciiTheme="majorBidi" w:hAnsiTheme="majorBidi" w:cstheme="majorBidi"/>
          <w:sz w:val="24"/>
          <w:szCs w:val="24"/>
        </w:rPr>
        <w:t xml:space="preserve"> mokestis.</w:t>
      </w:r>
    </w:p>
    <w:p w14:paraId="6912D022" w14:textId="458F12B5" w:rsidR="00BB38FD" w:rsidRPr="00F90E6C" w:rsidRDefault="00E52A99" w:rsidP="00541263">
      <w:pPr>
        <w:spacing w:line="240" w:lineRule="auto"/>
        <w:jc w:val="both"/>
        <w:rPr>
          <w:rFonts w:asciiTheme="majorBidi" w:hAnsiTheme="majorBidi" w:cstheme="majorBidi"/>
          <w:sz w:val="24"/>
          <w:szCs w:val="24"/>
        </w:rPr>
      </w:pPr>
      <w:r w:rsidRPr="00F90E6C">
        <w:rPr>
          <w:rFonts w:asciiTheme="majorBidi" w:hAnsiTheme="majorBidi" w:cstheme="majorBidi"/>
          <w:sz w:val="24"/>
          <w:szCs w:val="24"/>
        </w:rPr>
        <w:t>Leidimas organizuoti nuotolinius lošimus išduodamas sumokėjus nustatyto dydžio valstybės rinkliavą</w:t>
      </w:r>
      <w:r w:rsidR="00885F4E" w:rsidRPr="00F90E6C">
        <w:rPr>
          <w:rFonts w:asciiTheme="majorBidi" w:hAnsiTheme="majorBidi" w:cstheme="majorBidi"/>
          <w:sz w:val="24"/>
          <w:szCs w:val="24"/>
        </w:rPr>
        <w:t xml:space="preserve">, kurios dydis </w:t>
      </w:r>
      <w:r w:rsidR="00541263" w:rsidRPr="00F90E6C">
        <w:rPr>
          <w:rFonts w:asciiTheme="majorBidi" w:eastAsia="Times New Roman" w:hAnsiTheme="majorBidi" w:cstheme="majorBidi"/>
          <w:sz w:val="24"/>
          <w:szCs w:val="24"/>
          <w:lang w:eastAsia="lt-LT"/>
        </w:rPr>
        <w:t xml:space="preserve">yra patvirtintas Lietuvos Respublikos Vyriausybės 2000 m. gruodžio 15 d. nutarimu Nr. 1458 </w:t>
      </w:r>
      <w:hyperlink r:id="rId7" w:history="1">
        <w:r w:rsidR="00541263" w:rsidRPr="00F90E6C">
          <w:rPr>
            <w:rFonts w:asciiTheme="majorBidi" w:eastAsia="Times New Roman" w:hAnsiTheme="majorBidi" w:cstheme="majorBidi"/>
            <w:color w:val="0000FF"/>
            <w:sz w:val="24"/>
            <w:szCs w:val="24"/>
            <w:u w:val="single"/>
            <w:lang w:eastAsia="lt-LT"/>
          </w:rPr>
          <w:t>„Dėl Konkrečių valstybės rinkliavos dydžių sąrašo ir Valstybės rinkliavos mokėjimo ir grąžinimo taisyklių patvirtinimo“</w:t>
        </w:r>
      </w:hyperlink>
      <w:r w:rsidRPr="00F90E6C">
        <w:rPr>
          <w:rFonts w:asciiTheme="majorBidi" w:hAnsiTheme="majorBidi" w:cstheme="majorBidi"/>
          <w:sz w:val="24"/>
          <w:szCs w:val="24"/>
        </w:rPr>
        <w:t>.</w:t>
      </w:r>
    </w:p>
    <w:sectPr w:rsidR="00BB38FD" w:rsidRPr="00F90E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3353E"/>
    <w:multiLevelType w:val="hybridMultilevel"/>
    <w:tmpl w:val="275A00A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16315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1E"/>
    <w:rsid w:val="0000041E"/>
    <w:rsid w:val="00064A76"/>
    <w:rsid w:val="00070165"/>
    <w:rsid w:val="00120188"/>
    <w:rsid w:val="00134F5C"/>
    <w:rsid w:val="00171E6C"/>
    <w:rsid w:val="001836E7"/>
    <w:rsid w:val="0024334D"/>
    <w:rsid w:val="0034687B"/>
    <w:rsid w:val="003529AE"/>
    <w:rsid w:val="003877D8"/>
    <w:rsid w:val="00391046"/>
    <w:rsid w:val="004A19A1"/>
    <w:rsid w:val="00541263"/>
    <w:rsid w:val="00542586"/>
    <w:rsid w:val="00577E8C"/>
    <w:rsid w:val="00590E8C"/>
    <w:rsid w:val="005F2D74"/>
    <w:rsid w:val="006453E2"/>
    <w:rsid w:val="00687255"/>
    <w:rsid w:val="006D28CC"/>
    <w:rsid w:val="006D7A4A"/>
    <w:rsid w:val="00742C43"/>
    <w:rsid w:val="00757710"/>
    <w:rsid w:val="0076325D"/>
    <w:rsid w:val="00770D0D"/>
    <w:rsid w:val="007A3C80"/>
    <w:rsid w:val="00885F4E"/>
    <w:rsid w:val="008B485A"/>
    <w:rsid w:val="008E1AA4"/>
    <w:rsid w:val="009946DF"/>
    <w:rsid w:val="009E1869"/>
    <w:rsid w:val="00A0118B"/>
    <w:rsid w:val="00A212D1"/>
    <w:rsid w:val="00A35669"/>
    <w:rsid w:val="00A62FFF"/>
    <w:rsid w:val="00AA281B"/>
    <w:rsid w:val="00B03C2C"/>
    <w:rsid w:val="00B61C5C"/>
    <w:rsid w:val="00B64564"/>
    <w:rsid w:val="00B806E6"/>
    <w:rsid w:val="00B9016E"/>
    <w:rsid w:val="00B91C4A"/>
    <w:rsid w:val="00B927F0"/>
    <w:rsid w:val="00BB38FD"/>
    <w:rsid w:val="00BB7DA1"/>
    <w:rsid w:val="00BF4738"/>
    <w:rsid w:val="00C6230B"/>
    <w:rsid w:val="00CC0433"/>
    <w:rsid w:val="00CD2FC6"/>
    <w:rsid w:val="00CF189D"/>
    <w:rsid w:val="00D10F0D"/>
    <w:rsid w:val="00D758A9"/>
    <w:rsid w:val="00DC5701"/>
    <w:rsid w:val="00E52A99"/>
    <w:rsid w:val="00EA46C2"/>
    <w:rsid w:val="00EA649B"/>
    <w:rsid w:val="00EB1C61"/>
    <w:rsid w:val="00F90E6C"/>
    <w:rsid w:val="00FE6145"/>
    <w:rsid w:val="00FF34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CAEF"/>
  <w15:chartTrackingRefBased/>
  <w15:docId w15:val="{E124E7AF-5EB1-45A1-A66C-522FBF35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00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0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04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04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04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04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04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04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04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04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04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04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04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04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04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04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04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04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0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04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04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04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04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041E"/>
    <w:rPr>
      <w:i/>
      <w:iCs/>
      <w:color w:val="404040" w:themeColor="text1" w:themeTint="BF"/>
    </w:rPr>
  </w:style>
  <w:style w:type="paragraph" w:styleId="Sraopastraipa">
    <w:name w:val="List Paragraph"/>
    <w:basedOn w:val="prastasis"/>
    <w:uiPriority w:val="34"/>
    <w:qFormat/>
    <w:rsid w:val="0000041E"/>
    <w:pPr>
      <w:ind w:left="720"/>
      <w:contextualSpacing/>
    </w:pPr>
  </w:style>
  <w:style w:type="character" w:styleId="Rykuspabraukimas">
    <w:name w:val="Intense Emphasis"/>
    <w:basedOn w:val="Numatytasispastraiposriftas"/>
    <w:uiPriority w:val="21"/>
    <w:qFormat/>
    <w:rsid w:val="0000041E"/>
    <w:rPr>
      <w:i/>
      <w:iCs/>
      <w:color w:val="0F4761" w:themeColor="accent1" w:themeShade="BF"/>
    </w:rPr>
  </w:style>
  <w:style w:type="paragraph" w:styleId="Iskirtacitata">
    <w:name w:val="Intense Quote"/>
    <w:basedOn w:val="prastasis"/>
    <w:next w:val="prastasis"/>
    <w:link w:val="IskirtacitataDiagrama"/>
    <w:uiPriority w:val="30"/>
    <w:qFormat/>
    <w:rsid w:val="00000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041E"/>
    <w:rPr>
      <w:i/>
      <w:iCs/>
      <w:color w:val="0F4761" w:themeColor="accent1" w:themeShade="BF"/>
    </w:rPr>
  </w:style>
  <w:style w:type="character" w:styleId="Rykinuoroda">
    <w:name w:val="Intense Reference"/>
    <w:basedOn w:val="Numatytasispastraiposriftas"/>
    <w:uiPriority w:val="32"/>
    <w:qFormat/>
    <w:rsid w:val="0000041E"/>
    <w:rPr>
      <w:b/>
      <w:bCs/>
      <w:smallCaps/>
      <w:color w:val="0F4761" w:themeColor="accent1" w:themeShade="BF"/>
      <w:spacing w:val="5"/>
    </w:rPr>
  </w:style>
  <w:style w:type="character" w:styleId="Hipersaitas">
    <w:name w:val="Hyperlink"/>
    <w:basedOn w:val="Numatytasispastraiposriftas"/>
    <w:uiPriority w:val="99"/>
    <w:unhideWhenUsed/>
    <w:rsid w:val="00742C43"/>
    <w:rPr>
      <w:color w:val="467886" w:themeColor="hyperlink"/>
      <w:u w:val="single"/>
    </w:rPr>
  </w:style>
  <w:style w:type="character" w:styleId="Neapdorotaspaminjimas">
    <w:name w:val="Unresolved Mention"/>
    <w:basedOn w:val="Numatytasispastraiposriftas"/>
    <w:uiPriority w:val="99"/>
    <w:semiHidden/>
    <w:unhideWhenUsed/>
    <w:rsid w:val="00742C43"/>
    <w:rPr>
      <w:color w:val="605E5C"/>
      <w:shd w:val="clear" w:color="auto" w:fill="E1DFDD"/>
    </w:rPr>
  </w:style>
  <w:style w:type="character" w:styleId="Perirtashipersaitas">
    <w:name w:val="FollowedHyperlink"/>
    <w:basedOn w:val="Numatytasispastraiposriftas"/>
    <w:uiPriority w:val="99"/>
    <w:semiHidden/>
    <w:unhideWhenUsed/>
    <w:rsid w:val="00CF189D"/>
    <w:rPr>
      <w:color w:val="96607D" w:themeColor="followedHyperlink"/>
      <w:u w:val="single"/>
    </w:rPr>
  </w:style>
  <w:style w:type="character" w:styleId="Komentaronuoroda">
    <w:name w:val="annotation reference"/>
    <w:basedOn w:val="Numatytasispastraiposriftas"/>
    <w:uiPriority w:val="99"/>
    <w:semiHidden/>
    <w:unhideWhenUsed/>
    <w:rsid w:val="00CF189D"/>
    <w:rPr>
      <w:sz w:val="16"/>
      <w:szCs w:val="16"/>
    </w:rPr>
  </w:style>
  <w:style w:type="paragraph" w:styleId="Komentarotekstas">
    <w:name w:val="annotation text"/>
    <w:basedOn w:val="prastasis"/>
    <w:link w:val="KomentarotekstasDiagrama"/>
    <w:uiPriority w:val="99"/>
    <w:unhideWhenUsed/>
    <w:rsid w:val="00CF18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189D"/>
    <w:rPr>
      <w:sz w:val="20"/>
      <w:szCs w:val="20"/>
    </w:rPr>
  </w:style>
  <w:style w:type="paragraph" w:styleId="Komentarotema">
    <w:name w:val="annotation subject"/>
    <w:basedOn w:val="Komentarotekstas"/>
    <w:next w:val="Komentarotekstas"/>
    <w:link w:val="KomentarotemaDiagrama"/>
    <w:uiPriority w:val="99"/>
    <w:semiHidden/>
    <w:unhideWhenUsed/>
    <w:rsid w:val="00CF189D"/>
    <w:rPr>
      <w:b/>
      <w:bCs/>
    </w:rPr>
  </w:style>
  <w:style w:type="character" w:customStyle="1" w:styleId="KomentarotemaDiagrama">
    <w:name w:val="Komentaro tema Diagrama"/>
    <w:basedOn w:val="KomentarotekstasDiagrama"/>
    <w:link w:val="Komentarotema"/>
    <w:uiPriority w:val="99"/>
    <w:semiHidden/>
    <w:rsid w:val="00CF189D"/>
    <w:rPr>
      <w:b/>
      <w:bCs/>
      <w:sz w:val="20"/>
      <w:szCs w:val="20"/>
    </w:rPr>
  </w:style>
  <w:style w:type="paragraph" w:styleId="Pataisymai">
    <w:name w:val="Revision"/>
    <w:hidden/>
    <w:uiPriority w:val="99"/>
    <w:semiHidden/>
    <w:rsid w:val="001201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E3A145C8DD49/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A7A6A8CC58D7/asr" TargetMode="External"/><Relationship Id="rId5" Type="http://schemas.openxmlformats.org/officeDocument/2006/relationships/hyperlink" Target="https://www.e-tar.lt/portal/lt/legalAct/8e48554031a611ec992fe4cdfceb56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5222</Words>
  <Characters>2978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Čeikienė</dc:creator>
  <cp:keywords/>
  <dc:description/>
  <cp:lastModifiedBy>Giedrė Čeikienė</cp:lastModifiedBy>
  <cp:revision>5</cp:revision>
  <dcterms:created xsi:type="dcterms:W3CDTF">2025-12-18T08:40:00Z</dcterms:created>
  <dcterms:modified xsi:type="dcterms:W3CDTF">2025-12-18T08:40:00Z</dcterms:modified>
</cp:coreProperties>
</file>