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1ADE" w14:textId="39A96FB2" w:rsidR="0093518E" w:rsidRDefault="003F750D" w:rsidP="0093518E">
      <w:pPr>
        <w:spacing w:after="0" w:line="240" w:lineRule="auto"/>
        <w:ind w:left="-142" w:right="-1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F750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DĖL ATLIKTO ,,LOŠIMŲ STRATEGINĖ GRUPĖ“, UAB NEPLANINIO SPECIALIOJO PATIKRINIMO PAGAL 2025 M. BIRŽELIO 12 D. PAVEDIMĄ PATIKRINTI NR. PT-30</w:t>
      </w:r>
    </w:p>
    <w:p w14:paraId="325DC2E8" w14:textId="77777777" w:rsidR="008F0056" w:rsidRDefault="008F0056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360E6CA" w14:textId="77777777" w:rsidR="003F750D" w:rsidRDefault="003F750D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530846F8" w14:textId="51C9AAFF" w:rsidR="00D456B2" w:rsidRDefault="0093518E" w:rsidP="00D456B2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93518E">
        <w:rPr>
          <w:rFonts w:asciiTheme="majorBidi" w:hAnsiTheme="majorBidi" w:cstheme="majorBidi"/>
          <w:sz w:val="24"/>
          <w:szCs w:val="24"/>
        </w:rPr>
        <w:t>ošimų priežiūros tarnyb</w:t>
      </w:r>
      <w:r w:rsidR="004C7CBA">
        <w:rPr>
          <w:rFonts w:asciiTheme="majorBidi" w:hAnsiTheme="majorBidi" w:cstheme="majorBidi"/>
          <w:sz w:val="24"/>
          <w:szCs w:val="24"/>
        </w:rPr>
        <w:t>a</w:t>
      </w:r>
      <w:r w:rsidRPr="0093518E">
        <w:rPr>
          <w:rFonts w:asciiTheme="majorBidi" w:hAnsiTheme="majorBidi" w:cstheme="majorBidi"/>
          <w:sz w:val="24"/>
          <w:szCs w:val="24"/>
        </w:rPr>
        <w:t xml:space="preserve"> prie Lietuvos Respublikos finansų ministerijos (toliau – Priežiūros tarnyba) </w:t>
      </w:r>
      <w:r w:rsidR="004C7CBA">
        <w:rPr>
          <w:rFonts w:asciiTheme="majorBidi" w:hAnsiTheme="majorBidi" w:cstheme="majorBidi"/>
          <w:sz w:val="24"/>
          <w:szCs w:val="24"/>
        </w:rPr>
        <w:t>a</w:t>
      </w:r>
      <w:r w:rsidR="004C7CBA" w:rsidRPr="004C7CBA">
        <w:rPr>
          <w:rFonts w:asciiTheme="majorBidi" w:hAnsiTheme="majorBidi" w:cstheme="majorBidi"/>
          <w:sz w:val="24"/>
          <w:szCs w:val="24"/>
        </w:rPr>
        <w:t>tlikus</w:t>
      </w:r>
      <w:r w:rsidR="004C7CBA">
        <w:rPr>
          <w:rFonts w:asciiTheme="majorBidi" w:hAnsiTheme="majorBidi" w:cstheme="majorBidi"/>
          <w:sz w:val="24"/>
          <w:szCs w:val="24"/>
        </w:rPr>
        <w:t>i</w:t>
      </w:r>
      <w:r w:rsidR="00A55F36">
        <w:rPr>
          <w:rFonts w:asciiTheme="majorBidi" w:hAnsiTheme="majorBidi" w:cstheme="majorBidi"/>
          <w:sz w:val="24"/>
          <w:szCs w:val="24"/>
        </w:rPr>
        <w:t xml:space="preserve"> </w:t>
      </w:r>
      <w:r w:rsidR="00B523E8" w:rsidRPr="00B523E8">
        <w:rPr>
          <w:rFonts w:asciiTheme="majorBidi" w:hAnsiTheme="majorBidi" w:cstheme="majorBidi"/>
          <w:sz w:val="24"/>
          <w:szCs w:val="24"/>
        </w:rPr>
        <w:t xml:space="preserve">,,Lošimų strateginė grupė“, UAB </w:t>
      </w:r>
      <w:r w:rsidR="00B523E8">
        <w:rPr>
          <w:rFonts w:asciiTheme="majorBidi" w:hAnsiTheme="majorBidi" w:cstheme="majorBidi"/>
          <w:sz w:val="24"/>
          <w:szCs w:val="24"/>
        </w:rPr>
        <w:t xml:space="preserve">(toliau – </w:t>
      </w:r>
      <w:r w:rsidR="004C7CBA" w:rsidRPr="004C7CBA">
        <w:rPr>
          <w:rFonts w:asciiTheme="majorBidi" w:hAnsiTheme="majorBidi" w:cstheme="majorBidi"/>
          <w:sz w:val="24"/>
          <w:szCs w:val="24"/>
        </w:rPr>
        <w:t>Bendrovė</w:t>
      </w:r>
      <w:r w:rsidR="00B523E8">
        <w:rPr>
          <w:rFonts w:asciiTheme="majorBidi" w:hAnsiTheme="majorBidi" w:cstheme="majorBidi"/>
          <w:sz w:val="24"/>
          <w:szCs w:val="24"/>
        </w:rPr>
        <w:t>)</w:t>
      </w:r>
      <w:r w:rsidR="004C7CBA" w:rsidRPr="004C7CBA">
        <w:rPr>
          <w:rFonts w:asciiTheme="majorBidi" w:hAnsiTheme="majorBidi" w:cstheme="majorBidi"/>
          <w:sz w:val="24"/>
          <w:szCs w:val="24"/>
        </w:rPr>
        <w:t xml:space="preserve"> neplaninį specialųjį patikrinimą, Priežiūros tarnybos direktoriaus 2025 m. spalio </w:t>
      </w:r>
      <w:r w:rsidR="004C7CBA">
        <w:rPr>
          <w:rFonts w:asciiTheme="majorBidi" w:hAnsiTheme="majorBidi" w:cstheme="majorBidi"/>
          <w:sz w:val="24"/>
          <w:szCs w:val="24"/>
        </w:rPr>
        <w:t>30</w:t>
      </w:r>
      <w:r w:rsidR="004C7CBA" w:rsidRPr="004C7CBA">
        <w:rPr>
          <w:rFonts w:asciiTheme="majorBidi" w:hAnsiTheme="majorBidi" w:cstheme="majorBidi"/>
          <w:sz w:val="24"/>
          <w:szCs w:val="24"/>
        </w:rPr>
        <w:t xml:space="preserve"> d. įsakymu Nr. DIE-4</w:t>
      </w:r>
      <w:r w:rsidR="004C7CBA">
        <w:rPr>
          <w:rFonts w:asciiTheme="majorBidi" w:hAnsiTheme="majorBidi" w:cstheme="majorBidi"/>
          <w:sz w:val="24"/>
          <w:szCs w:val="24"/>
        </w:rPr>
        <w:t>59</w:t>
      </w:r>
      <w:r w:rsidR="004C7CBA" w:rsidRPr="004C7CBA">
        <w:rPr>
          <w:rFonts w:asciiTheme="majorBidi" w:hAnsiTheme="majorBidi" w:cstheme="majorBidi"/>
          <w:sz w:val="24"/>
          <w:szCs w:val="24"/>
        </w:rPr>
        <w:t xml:space="preserve"> „Dėl atlikto ,,Lošimų strateginė grupė“, UAB neplaninio specialiojo patikrinimo pagal 2025 m. birželio 12 d. pavedimą patikrinti Nr. PT-30“ konstat</w:t>
      </w:r>
      <w:r w:rsidR="004C7CBA">
        <w:rPr>
          <w:rFonts w:asciiTheme="majorBidi" w:hAnsiTheme="majorBidi" w:cstheme="majorBidi"/>
          <w:sz w:val="24"/>
          <w:szCs w:val="24"/>
        </w:rPr>
        <w:t>avo</w:t>
      </w:r>
      <w:r w:rsidR="004C7CBA" w:rsidRPr="004C7CBA">
        <w:rPr>
          <w:rFonts w:asciiTheme="majorBidi" w:hAnsiTheme="majorBidi" w:cstheme="majorBidi"/>
          <w:sz w:val="24"/>
          <w:szCs w:val="24"/>
        </w:rPr>
        <w:t xml:space="preserve">, </w:t>
      </w:r>
      <w:r w:rsidR="004C7CBA" w:rsidRPr="00D456B2">
        <w:rPr>
          <w:rFonts w:asciiTheme="majorBidi" w:hAnsiTheme="majorBidi" w:cstheme="majorBidi"/>
          <w:sz w:val="24"/>
          <w:szCs w:val="24"/>
        </w:rPr>
        <w:t xml:space="preserve">kad 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Bendrovės si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ųstuo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se pranešimuose nurodyta informacija 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ne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atitik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o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r w:rsidR="00D456B2" w:rsidRPr="00D456B2">
        <w:rPr>
          <w:rFonts w:asciiTheme="majorBidi" w:hAnsiTheme="majorBidi" w:cstheme="majorBidi"/>
          <w:sz w:val="24"/>
          <w:szCs w:val="24"/>
        </w:rPr>
        <w:t>Lietuvos Respublikos azartinių lošimų įstatyme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(toliau – ALĮ) 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nustatytų 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reikalavim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ų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, susijusi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ų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su azartinių lošimų reklama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. Bendrovė 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pažeidė ALĮ 10 straipsnio 9, 9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vertAlign w:val="superscript"/>
          <w14:ligatures w14:val="none"/>
        </w:rPr>
        <w:t>1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dalių reikalavimus, nes Bendrovės naudojamas prekių ženklas ,,</w:t>
      </w:r>
      <w:proofErr w:type="spellStart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betsafe</w:t>
      </w:r>
      <w:proofErr w:type="spellEnd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by</w:t>
      </w:r>
      <w:proofErr w:type="spellEnd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betsson</w:t>
      </w:r>
      <w:proofErr w:type="spellEnd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“ buvo skelbiamas kartu su papildoma rašytine ir vaizdine informacija (vaizdin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e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lošimo ,,</w:t>
      </w:r>
      <w:proofErr w:type="spellStart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Sweet</w:t>
      </w:r>
      <w:proofErr w:type="spellEnd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Bonanza</w:t>
      </w:r>
      <w:proofErr w:type="spellEnd"/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“ reklama, aktyvi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a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nuoroda, tekst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u</w:t>
      </w:r>
      <w:r w:rsidR="00D456B2" w:rsidRP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apie Bendrovės paskyroje esančią žinutę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). </w:t>
      </w:r>
    </w:p>
    <w:p w14:paraId="7208B7D4" w14:textId="77777777" w:rsidR="00D456B2" w:rsidRDefault="00D456B2" w:rsidP="00D456B2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65A813E" w14:textId="61247F0A" w:rsidR="00D456B2" w:rsidRDefault="00D456B2" w:rsidP="00D456B2">
      <w:pPr>
        <w:spacing w:after="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6B2">
        <w:rPr>
          <w:rFonts w:ascii="Times New Roman" w:eastAsia="Calibri" w:hAnsi="Times New Roman" w:cs="Times New Roman"/>
          <w:sz w:val="24"/>
          <w:szCs w:val="24"/>
        </w:rPr>
        <w:t>Įvertinus visas su nustatytu pažeidimu susijusias aplinkybes, vadovaujantis Priežiūros tarnybos direktoriaus 2020 m. birželio 29 d. įsakymo Nr. DIE-486 „Dėl mažareikšmių azartinius lošimus ir loterijas reglamentuojančių teisės aktų reikalavimų pažeidimų kriterijų patvirtinimo“ 5.1.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ir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 5.7 papunkčiais, pažeidimas pripažintas mažareikšmiu teisės aktų reikalavimų pažeidimu</w:t>
      </w:r>
    </w:p>
    <w:p w14:paraId="43411535" w14:textId="77777777" w:rsidR="00D456B2" w:rsidRDefault="00D456B2" w:rsidP="00D456B2">
      <w:pPr>
        <w:spacing w:after="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096F2" w14:textId="105C407E" w:rsidR="00D456B2" w:rsidRPr="00D456B2" w:rsidRDefault="00D456B2" w:rsidP="00D456B2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  <w:r w:rsidRPr="00D456B2">
        <w:rPr>
          <w:rFonts w:ascii="Times New Roman" w:eastAsia="Calibri" w:hAnsi="Times New Roman" w:cs="Times New Roman"/>
          <w:sz w:val="24"/>
          <w:szCs w:val="24"/>
        </w:rPr>
        <w:t>Remiantis ALĮ 29</w:t>
      </w:r>
      <w:r w:rsidRPr="00D456B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 straipsnio 6 dalimi, atsižvelgiant į nustatytas </w:t>
      </w:r>
      <w:r w:rsidR="003F2544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endrovės lengvinančias aplinkybes, tai, kad </w:t>
      </w:r>
      <w:r w:rsidR="00D813FA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endrovė patikrinimo metu geranoriškai bendradarbiavo su Priežiūros tarnyba, teikė informaciją, paaiškinimus, </w:t>
      </w:r>
      <w:r w:rsidR="00D813FA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>endrovė anksčiau nėra baust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 už analogišką pažeidimą, pajamų ar kitokios turtinės naudos, gautos tiesiogiai dėl pažeidimo padarymo, </w:t>
      </w:r>
      <w:r w:rsidR="003F2544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endrovė negavo, </w:t>
      </w:r>
      <w:r w:rsidR="00B523E8" w:rsidRPr="00B523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Bendrovės reklama buvo ribotos aprėpties</w:t>
      </w:r>
      <w:r w:rsidR="00B523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523E8" w:rsidRPr="00B523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pranešimai buvo išsiųsti </w:t>
      </w:r>
      <w:proofErr w:type="spellStart"/>
      <w:r w:rsidR="00B523E8" w:rsidRPr="00B523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dviems</w:t>
      </w:r>
      <w:proofErr w:type="spellEnd"/>
      <w:r w:rsidR="00B523E8" w:rsidRPr="00B523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asmenims</w:t>
      </w:r>
      <w:r w:rsidR="00B523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  <w:r w:rsidR="00B523E8" w:rsidRPr="00D456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nenustačiusi atsakomybę sunkinančių aplinkybių, konstatavus, kad </w:t>
      </w:r>
      <w:r w:rsidR="00D813FA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endrovės padarytas pažeidimas yra mažareikšmis ir nepadarė esminės žalos įstatymų saugomiems interesams, vadovaujantis teisingumo ir protingumo kriterijais, nutarta netaikyti poveikio priemonių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>endrovei. Bendrovė informuota, kad už pakartotinai per vienerius metus padarytą tapatų pažeidimą, bus taikomos ALĮ numatytos poveikio priemonės.</w:t>
      </w:r>
    </w:p>
    <w:p w14:paraId="5CFC7DD4" w14:textId="77777777" w:rsidR="00D456B2" w:rsidRDefault="00D456B2" w:rsidP="00D456B2">
      <w:pPr>
        <w:spacing w:after="0" w:line="240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73558BAB" w14:textId="4C01B1E7" w:rsidR="0093518E" w:rsidRDefault="008F0056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  <w:r w:rsidRPr="008F0056">
        <w:rPr>
          <w:rFonts w:asciiTheme="majorBidi" w:hAnsiTheme="majorBidi" w:cstheme="majorBidi"/>
          <w:sz w:val="24"/>
          <w:szCs w:val="24"/>
        </w:rPr>
        <w:t>Priežiūros tarnybos priimami sprendimai nėra galutiniai bei gali būti skundžiami Lietuvos Respublikos administracinių bylų teisenos įstatymo nustatyta tvarka.</w:t>
      </w:r>
    </w:p>
    <w:p w14:paraId="69829EA2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2660BA64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65FEB963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3ECAB657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8AD5BE3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1A34C484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5FC158E" w14:textId="77777777" w:rsidR="0093518E" w:rsidRDefault="0093518E" w:rsidP="0093518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CA0B1C3" w14:textId="77777777" w:rsidR="0093518E" w:rsidRDefault="0093518E" w:rsidP="0093518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D53F7CF" w14:textId="045EA28F" w:rsidR="000D149D" w:rsidRPr="0093518E" w:rsidRDefault="000D149D" w:rsidP="0093518E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0D149D" w:rsidRPr="0093518E" w:rsidSect="002A6A3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C3"/>
    <w:rsid w:val="000D149D"/>
    <w:rsid w:val="002A6A34"/>
    <w:rsid w:val="003F2544"/>
    <w:rsid w:val="003F750D"/>
    <w:rsid w:val="00495621"/>
    <w:rsid w:val="004C7CBA"/>
    <w:rsid w:val="00562EC3"/>
    <w:rsid w:val="00801E17"/>
    <w:rsid w:val="008F0056"/>
    <w:rsid w:val="0093518E"/>
    <w:rsid w:val="00961A50"/>
    <w:rsid w:val="00A55F36"/>
    <w:rsid w:val="00B523E8"/>
    <w:rsid w:val="00D13AAE"/>
    <w:rsid w:val="00D456B2"/>
    <w:rsid w:val="00D8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3DEB"/>
  <w15:chartTrackingRefBased/>
  <w15:docId w15:val="{FB28991A-0364-497A-A4E0-7F203D6E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C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C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C3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C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C3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C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C3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56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C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C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56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C3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562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C3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562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Vosylius</dc:creator>
  <cp:keywords/>
  <dc:description/>
  <cp:lastModifiedBy>Martynas Vosylius</cp:lastModifiedBy>
  <cp:revision>6</cp:revision>
  <dcterms:created xsi:type="dcterms:W3CDTF">2025-11-05T13:43:00Z</dcterms:created>
  <dcterms:modified xsi:type="dcterms:W3CDTF">2025-11-05T14:07:00Z</dcterms:modified>
</cp:coreProperties>
</file>