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2AF2" w14:textId="2DBE13F8" w:rsidR="00954351" w:rsidRDefault="00233D7C" w:rsidP="00954351">
      <w:pPr>
        <w:jc w:val="center"/>
        <w:rPr>
          <w:rFonts w:ascii="Times New Roman" w:hAnsi="Times New Roman"/>
          <w:b/>
          <w:sz w:val="24"/>
          <w:szCs w:val="24"/>
        </w:rPr>
      </w:pPr>
      <w:r w:rsidRPr="000301B5">
        <w:rPr>
          <w:rFonts w:ascii="Times New Roman" w:hAnsi="Times New Roman"/>
          <w:b/>
          <w:sz w:val="24"/>
          <w:szCs w:val="24"/>
        </w:rPr>
        <w:t xml:space="preserve">DĖL </w:t>
      </w:r>
      <w:r w:rsidR="00954351" w:rsidRPr="003A7BBB">
        <w:rPr>
          <w:rFonts w:ascii="Times New Roman" w:hAnsi="Times New Roman"/>
          <w:b/>
          <w:sz w:val="24"/>
          <w:szCs w:val="24"/>
        </w:rPr>
        <w:t>ATLIKTŲ UAB ,,AMBER GAMING“ NEPLANINIŲ SPECIALIŲJŲ PATIKRINIMŲ (2024 M. NR. PT-39, PT-40, PT-45, PT-46, PT-53, PT-57, PT-58, 2025 M. NR. PT-2, PT-3)</w:t>
      </w:r>
    </w:p>
    <w:p w14:paraId="097061D2" w14:textId="77777777" w:rsidR="00954351" w:rsidRDefault="00954351" w:rsidP="00954351">
      <w:pPr>
        <w:rPr>
          <w:rFonts w:ascii="Times New Roman" w:hAnsi="Times New Roman"/>
          <w:b/>
          <w:sz w:val="24"/>
          <w:szCs w:val="24"/>
        </w:rPr>
      </w:pPr>
    </w:p>
    <w:p w14:paraId="7C7148F7" w14:textId="5B281E38" w:rsidR="00F032D1" w:rsidRPr="00954351" w:rsidRDefault="00F032D1" w:rsidP="00954351">
      <w:pPr>
        <w:jc w:val="both"/>
        <w:rPr>
          <w:rFonts w:asciiTheme="majorBidi" w:hAnsiTheme="majorBidi" w:cstheme="majorBidi"/>
          <w:sz w:val="24"/>
          <w:szCs w:val="24"/>
          <w:shd w:val="clear" w:color="auto" w:fill="FFFFFF"/>
        </w:rPr>
      </w:pPr>
      <w:r w:rsidRPr="00954351">
        <w:rPr>
          <w:rFonts w:asciiTheme="majorBidi" w:hAnsiTheme="majorBidi" w:cstheme="majorBidi"/>
          <w:sz w:val="24"/>
          <w:szCs w:val="24"/>
          <w:shd w:val="clear" w:color="auto" w:fill="FFFFFF"/>
        </w:rPr>
        <w:t>Lošimų priežiūros tarnyba prie Lietuvos Respublikos finansų ministerijos (toliau – Priežiūros tarnyba) lošimų organizatoriui UAB „</w:t>
      </w:r>
      <w:proofErr w:type="spellStart"/>
      <w:r w:rsidRPr="00954351">
        <w:rPr>
          <w:rFonts w:asciiTheme="majorBidi" w:hAnsiTheme="majorBidi" w:cstheme="majorBidi"/>
          <w:sz w:val="24"/>
          <w:szCs w:val="24"/>
          <w:shd w:val="clear" w:color="auto" w:fill="FFFFFF"/>
        </w:rPr>
        <w:t>Amber</w:t>
      </w:r>
      <w:proofErr w:type="spellEnd"/>
      <w:r w:rsidRPr="00954351">
        <w:rPr>
          <w:rFonts w:asciiTheme="majorBidi" w:hAnsiTheme="majorBidi" w:cstheme="majorBidi"/>
          <w:sz w:val="24"/>
          <w:szCs w:val="24"/>
          <w:shd w:val="clear" w:color="auto" w:fill="FFFFFF"/>
        </w:rPr>
        <w:t xml:space="preserve"> </w:t>
      </w:r>
      <w:proofErr w:type="spellStart"/>
      <w:r w:rsidRPr="00954351">
        <w:rPr>
          <w:rFonts w:asciiTheme="majorBidi" w:hAnsiTheme="majorBidi" w:cstheme="majorBidi"/>
          <w:sz w:val="24"/>
          <w:szCs w:val="24"/>
          <w:shd w:val="clear" w:color="auto" w:fill="FFFFFF"/>
        </w:rPr>
        <w:t>Gaming</w:t>
      </w:r>
      <w:proofErr w:type="spellEnd"/>
      <w:r w:rsidRPr="00954351">
        <w:rPr>
          <w:rFonts w:asciiTheme="majorBidi" w:hAnsiTheme="majorBidi" w:cstheme="majorBidi"/>
          <w:sz w:val="24"/>
          <w:szCs w:val="24"/>
          <w:shd w:val="clear" w:color="auto" w:fill="FFFFFF"/>
        </w:rPr>
        <w:t>“ (toliau – ir Bendrovė) skyrė 15 000 Eur baudą už Lietuvos Respublikos azartinių lošimų įstatymo (toliau – ALĮ) 18 straipsnio 1 dalies pažeidimą.</w:t>
      </w:r>
    </w:p>
    <w:p w14:paraId="7D1FFEBB" w14:textId="322F499F" w:rsidR="00954351" w:rsidRDefault="00F032D1" w:rsidP="00954351">
      <w:pPr>
        <w:pStyle w:val="NormalWeb"/>
        <w:shd w:val="clear" w:color="auto" w:fill="FFFFFF"/>
        <w:spacing w:before="0" w:beforeAutospacing="0" w:after="0" w:afterAutospacing="0"/>
        <w:jc w:val="both"/>
      </w:pPr>
      <w:r w:rsidRPr="00954351">
        <w:t xml:space="preserve">Priežiūros tarnyba gavo </w:t>
      </w:r>
      <w:r w:rsidR="00954351">
        <w:t>9 p</w:t>
      </w:r>
      <w:r w:rsidRPr="00954351">
        <w:t>areiškėj</w:t>
      </w:r>
      <w:r w:rsidR="00954351">
        <w:t>ų</w:t>
      </w:r>
      <w:r w:rsidRPr="00954351">
        <w:t xml:space="preserve"> </w:t>
      </w:r>
      <w:r w:rsidR="00954351">
        <w:t>pranešimus apie tai, kad Bendrovė su jais nutraukė nuotolinio lošimo sutartis.</w:t>
      </w:r>
    </w:p>
    <w:p w14:paraId="09E20A28" w14:textId="77777777" w:rsidR="00F032D1" w:rsidRDefault="00F032D1" w:rsidP="00F032D1">
      <w:pPr>
        <w:pStyle w:val="NormalWeb"/>
        <w:shd w:val="clear" w:color="auto" w:fill="FFFFFF"/>
        <w:spacing w:before="0" w:beforeAutospacing="0" w:after="0" w:afterAutospacing="0"/>
        <w:jc w:val="both"/>
      </w:pPr>
    </w:p>
    <w:p w14:paraId="7B3F1E9B" w14:textId="2CB94103" w:rsidR="009C0B66" w:rsidRPr="00852260" w:rsidRDefault="00F032D1" w:rsidP="00AD545C">
      <w:pPr>
        <w:widowControl w:val="0"/>
        <w:shd w:val="clear" w:color="auto" w:fill="FFFFFF"/>
        <w:autoSpaceDE w:val="0"/>
        <w:autoSpaceDN w:val="0"/>
        <w:adjustRightInd w:val="0"/>
        <w:jc w:val="both"/>
        <w:rPr>
          <w:rFonts w:ascii="Times New Roman" w:eastAsia="Times New Roman" w:hAnsi="Times New Roman"/>
          <w:bCs/>
          <w:iCs/>
          <w:sz w:val="24"/>
          <w:szCs w:val="24"/>
        </w:rPr>
      </w:pPr>
      <w:r w:rsidRPr="00AD545C">
        <w:rPr>
          <w:rFonts w:asciiTheme="majorBidi" w:hAnsiTheme="majorBidi" w:cstheme="majorBidi"/>
          <w:sz w:val="24"/>
          <w:szCs w:val="24"/>
          <w:shd w:val="clear" w:color="auto" w:fill="FFFFFF"/>
        </w:rPr>
        <w:t>Atlikus Bendrovės neplaninį specialųjį patikrinimą, Priežiūros tarnybos direktoriaus 202</w:t>
      </w:r>
      <w:r w:rsidR="00C47493">
        <w:rPr>
          <w:rFonts w:asciiTheme="majorBidi" w:hAnsiTheme="majorBidi" w:cstheme="majorBidi"/>
          <w:sz w:val="24"/>
          <w:szCs w:val="24"/>
          <w:shd w:val="clear" w:color="auto" w:fill="FFFFFF"/>
        </w:rPr>
        <w:t>5</w:t>
      </w:r>
      <w:r w:rsidRPr="00AD545C">
        <w:rPr>
          <w:rFonts w:asciiTheme="majorBidi" w:hAnsiTheme="majorBidi" w:cstheme="majorBidi"/>
          <w:sz w:val="24"/>
          <w:szCs w:val="24"/>
          <w:shd w:val="clear" w:color="auto" w:fill="FFFFFF"/>
        </w:rPr>
        <w:t xml:space="preserve"> m. </w:t>
      </w:r>
      <w:r w:rsidR="009C0B66">
        <w:rPr>
          <w:rFonts w:asciiTheme="majorBidi" w:hAnsiTheme="majorBidi" w:cstheme="majorBidi"/>
          <w:sz w:val="24"/>
          <w:szCs w:val="24"/>
          <w:shd w:val="clear" w:color="auto" w:fill="FFFFFF"/>
        </w:rPr>
        <w:t>rugpjūčio 21</w:t>
      </w:r>
      <w:r w:rsidRPr="00AD545C">
        <w:rPr>
          <w:rFonts w:asciiTheme="majorBidi" w:hAnsiTheme="majorBidi" w:cstheme="majorBidi"/>
          <w:sz w:val="24"/>
          <w:szCs w:val="24"/>
          <w:shd w:val="clear" w:color="auto" w:fill="FFFFFF"/>
        </w:rPr>
        <w:t> d. įsakym</w:t>
      </w:r>
      <w:r w:rsidR="00BD793D" w:rsidRPr="00AD545C">
        <w:rPr>
          <w:rFonts w:asciiTheme="majorBidi" w:hAnsiTheme="majorBidi" w:cstheme="majorBidi"/>
          <w:sz w:val="24"/>
          <w:szCs w:val="24"/>
          <w:shd w:val="clear" w:color="auto" w:fill="FFFFFF"/>
        </w:rPr>
        <w:t>u</w:t>
      </w:r>
      <w:r w:rsidR="00AD545C" w:rsidRPr="00AD545C">
        <w:rPr>
          <w:rFonts w:asciiTheme="majorBidi" w:hAnsiTheme="majorBidi" w:cstheme="majorBidi"/>
          <w:sz w:val="24"/>
          <w:szCs w:val="24"/>
          <w:shd w:val="clear" w:color="auto" w:fill="FFFFFF"/>
        </w:rPr>
        <w:t xml:space="preserve"> Nr. DIE-</w:t>
      </w:r>
      <w:r w:rsidR="009C0B66">
        <w:rPr>
          <w:rFonts w:asciiTheme="majorBidi" w:hAnsiTheme="majorBidi" w:cstheme="majorBidi"/>
          <w:sz w:val="24"/>
          <w:szCs w:val="24"/>
          <w:shd w:val="clear" w:color="auto" w:fill="FFFFFF"/>
        </w:rPr>
        <w:t>360</w:t>
      </w:r>
      <w:r w:rsidR="00AD545C" w:rsidRPr="00AD545C">
        <w:rPr>
          <w:rFonts w:asciiTheme="majorBidi" w:hAnsiTheme="majorBidi" w:cstheme="majorBidi"/>
          <w:sz w:val="24"/>
          <w:szCs w:val="24"/>
          <w:shd w:val="clear" w:color="auto" w:fill="FFFFFF"/>
        </w:rPr>
        <w:t xml:space="preserve"> </w:t>
      </w:r>
      <w:r w:rsidR="009C0B66" w:rsidRPr="009C0B66">
        <w:rPr>
          <w:rFonts w:ascii="Times New Roman" w:hAnsi="Times New Roman" w:cs="Times New Roman"/>
          <w:color w:val="000000"/>
          <w:sz w:val="24"/>
          <w:szCs w:val="24"/>
        </w:rPr>
        <w:t>,,Dėl atlikto UAB „</w:t>
      </w:r>
      <w:proofErr w:type="spellStart"/>
      <w:r w:rsidR="009C0B66" w:rsidRPr="009C0B66">
        <w:rPr>
          <w:rFonts w:ascii="Times New Roman" w:hAnsi="Times New Roman" w:cs="Times New Roman"/>
          <w:color w:val="000000"/>
          <w:sz w:val="24"/>
          <w:szCs w:val="24"/>
        </w:rPr>
        <w:t>Amber</w:t>
      </w:r>
      <w:proofErr w:type="spellEnd"/>
      <w:r w:rsidR="009C0B66" w:rsidRPr="009C0B66">
        <w:rPr>
          <w:rFonts w:ascii="Times New Roman" w:hAnsi="Times New Roman" w:cs="Times New Roman"/>
          <w:color w:val="000000"/>
          <w:sz w:val="24"/>
          <w:szCs w:val="24"/>
        </w:rPr>
        <w:t xml:space="preserve"> </w:t>
      </w:r>
      <w:proofErr w:type="spellStart"/>
      <w:r w:rsidR="009C0B66" w:rsidRPr="009C0B66">
        <w:rPr>
          <w:rFonts w:ascii="Times New Roman" w:hAnsi="Times New Roman" w:cs="Times New Roman"/>
          <w:color w:val="000000"/>
          <w:sz w:val="24"/>
          <w:szCs w:val="24"/>
        </w:rPr>
        <w:t>Gaming</w:t>
      </w:r>
      <w:proofErr w:type="spellEnd"/>
      <w:r w:rsidR="009C0B66" w:rsidRPr="009C0B66">
        <w:rPr>
          <w:rFonts w:ascii="Times New Roman" w:hAnsi="Times New Roman" w:cs="Times New Roman"/>
          <w:color w:val="000000"/>
          <w:sz w:val="24"/>
          <w:szCs w:val="24"/>
        </w:rPr>
        <w:t xml:space="preserve">“ neplaninių specialiųjų patikrinimų </w:t>
      </w:r>
      <w:r w:rsidR="009C0B66" w:rsidRPr="009C0B66">
        <w:rPr>
          <w:rFonts w:ascii="Times New Roman" w:hAnsi="Times New Roman" w:cs="Times New Roman"/>
          <w:sz w:val="24"/>
          <w:szCs w:val="24"/>
        </w:rPr>
        <w:t>(2024 m. Nr. PT-39, PT-40, PT-45, PT-46, PT-53, PT-57, PT-58, 2025 m. Nr. PT-2, PT-3)“</w:t>
      </w:r>
      <w:r w:rsidR="00BD793D" w:rsidRPr="00AD545C">
        <w:rPr>
          <w:bCs/>
          <w:iCs/>
          <w:sz w:val="24"/>
          <w:szCs w:val="24"/>
        </w:rPr>
        <w:t xml:space="preserve"> </w:t>
      </w:r>
      <w:r w:rsidRPr="00AD545C">
        <w:rPr>
          <w:rFonts w:asciiTheme="majorBidi" w:hAnsiTheme="majorBidi" w:cstheme="majorBidi"/>
          <w:sz w:val="24"/>
          <w:szCs w:val="24"/>
          <w:shd w:val="clear" w:color="auto" w:fill="FFFFFF"/>
        </w:rPr>
        <w:t xml:space="preserve">konstatuota, </w:t>
      </w:r>
      <w:bookmarkStart w:id="0" w:name="_Hlk173242133"/>
      <w:r w:rsidR="002739E3">
        <w:rPr>
          <w:rFonts w:asciiTheme="majorBidi" w:hAnsiTheme="majorBidi" w:cstheme="majorBidi"/>
          <w:sz w:val="24"/>
          <w:szCs w:val="24"/>
          <w:shd w:val="clear" w:color="auto" w:fill="FFFFFF"/>
        </w:rPr>
        <w:t xml:space="preserve">kad </w:t>
      </w:r>
      <w:r w:rsidR="009C0B66">
        <w:rPr>
          <w:rFonts w:asciiTheme="majorBidi" w:hAnsiTheme="majorBidi" w:cstheme="majorBidi"/>
          <w:sz w:val="24"/>
          <w:szCs w:val="24"/>
          <w:shd w:val="clear" w:color="auto" w:fill="FFFFFF"/>
        </w:rPr>
        <w:t xml:space="preserve">Bendrovė, </w:t>
      </w:r>
      <w:r w:rsidR="009C0B66" w:rsidRPr="009C0B66">
        <w:rPr>
          <w:rFonts w:ascii="Times New Roman" w:eastAsia="Times New Roman" w:hAnsi="Times New Roman"/>
          <w:bCs/>
          <w:i/>
          <w:sz w:val="24"/>
          <w:szCs w:val="24"/>
        </w:rPr>
        <w:t>(duomenys neskelbtini)</w:t>
      </w:r>
      <w:r w:rsidR="009C0B66" w:rsidRPr="007B2B15">
        <w:rPr>
          <w:rFonts w:ascii="Times New Roman" w:eastAsia="Times New Roman" w:hAnsi="Times New Roman"/>
          <w:bCs/>
          <w:iCs/>
          <w:sz w:val="24"/>
          <w:szCs w:val="24"/>
        </w:rPr>
        <w:t xml:space="preserve">, nesiėmė veiksmų, numatytų Bendrovės </w:t>
      </w:r>
      <w:r w:rsidR="00852260">
        <w:rPr>
          <w:rFonts w:ascii="Times New Roman" w:eastAsia="Times New Roman" w:hAnsi="Times New Roman"/>
          <w:bCs/>
          <w:iCs/>
          <w:sz w:val="24"/>
          <w:szCs w:val="24"/>
        </w:rPr>
        <w:t>r</w:t>
      </w:r>
      <w:r w:rsidR="009C0B66" w:rsidRPr="007B2B15">
        <w:rPr>
          <w:rFonts w:ascii="Times New Roman" w:eastAsia="Times New Roman" w:hAnsi="Times New Roman"/>
          <w:bCs/>
          <w:iCs/>
          <w:sz w:val="24"/>
          <w:szCs w:val="24"/>
        </w:rPr>
        <w:t xml:space="preserve">eglamente, </w:t>
      </w:r>
      <w:r w:rsidR="009C0B66" w:rsidRPr="009C0B66">
        <w:rPr>
          <w:rFonts w:ascii="Times New Roman" w:eastAsia="Times New Roman" w:hAnsi="Times New Roman"/>
          <w:bCs/>
          <w:i/>
          <w:sz w:val="24"/>
          <w:szCs w:val="24"/>
        </w:rPr>
        <w:t>(duomenys neskelbtini)</w:t>
      </w:r>
      <w:r w:rsidR="009C0B66" w:rsidRPr="007B2B15">
        <w:rPr>
          <w:rFonts w:ascii="Times New Roman" w:eastAsia="Times New Roman" w:hAnsi="Times New Roman"/>
          <w:bCs/>
          <w:iCs/>
          <w:sz w:val="24"/>
          <w:szCs w:val="24"/>
        </w:rPr>
        <w:t xml:space="preserve"> taip pat Bendrovei manant, kad </w:t>
      </w:r>
      <w:r w:rsidR="00852260">
        <w:rPr>
          <w:rFonts w:ascii="Times New Roman" w:eastAsia="Times New Roman" w:hAnsi="Times New Roman"/>
          <w:bCs/>
          <w:iCs/>
          <w:sz w:val="24"/>
          <w:szCs w:val="24"/>
        </w:rPr>
        <w:t>r</w:t>
      </w:r>
      <w:r w:rsidR="009C0B66" w:rsidRPr="007B2B15">
        <w:rPr>
          <w:rFonts w:ascii="Times New Roman" w:eastAsia="Times New Roman" w:hAnsi="Times New Roman"/>
          <w:bCs/>
          <w:iCs/>
          <w:sz w:val="24"/>
          <w:szCs w:val="24"/>
        </w:rPr>
        <w:t xml:space="preserve">eglamente aprašytos priemonės nėra pakankamos minėtai rizikai suvaldyti, nesiėmė veiksmų dėl </w:t>
      </w:r>
      <w:r w:rsidR="00852260">
        <w:rPr>
          <w:rFonts w:ascii="Times New Roman" w:eastAsia="Times New Roman" w:hAnsi="Times New Roman"/>
          <w:bCs/>
          <w:iCs/>
          <w:sz w:val="24"/>
          <w:szCs w:val="24"/>
        </w:rPr>
        <w:t>r</w:t>
      </w:r>
      <w:r w:rsidR="009C0B66" w:rsidRPr="007B2B15">
        <w:rPr>
          <w:rFonts w:ascii="Times New Roman" w:eastAsia="Times New Roman" w:hAnsi="Times New Roman"/>
          <w:bCs/>
          <w:iCs/>
          <w:sz w:val="24"/>
          <w:szCs w:val="24"/>
        </w:rPr>
        <w:t>eglamento pakeitimo ar papildymo, ir Bendrovės klientų</w:t>
      </w:r>
      <w:r w:rsidR="00852260">
        <w:rPr>
          <w:rFonts w:ascii="Times New Roman" w:eastAsia="Times New Roman" w:hAnsi="Times New Roman"/>
          <w:bCs/>
          <w:iCs/>
          <w:sz w:val="24"/>
          <w:szCs w:val="24"/>
        </w:rPr>
        <w:t xml:space="preserve"> (tarp jų ir pareiškėjų)</w:t>
      </w:r>
      <w:r w:rsidR="009C0B66" w:rsidRPr="007B2B15">
        <w:rPr>
          <w:rFonts w:ascii="Times New Roman" w:eastAsia="Times New Roman" w:hAnsi="Times New Roman"/>
          <w:bCs/>
          <w:iCs/>
          <w:sz w:val="24"/>
          <w:szCs w:val="24"/>
        </w:rPr>
        <w:t xml:space="preserve"> veiksmuose nenustačiusi </w:t>
      </w:r>
      <w:r w:rsidR="00852260">
        <w:rPr>
          <w:rFonts w:ascii="Times New Roman" w:eastAsia="Times New Roman" w:hAnsi="Times New Roman"/>
          <w:bCs/>
          <w:iCs/>
          <w:sz w:val="24"/>
          <w:szCs w:val="24"/>
        </w:rPr>
        <w:t>r</w:t>
      </w:r>
      <w:r w:rsidR="009C0B66" w:rsidRPr="007B2B15">
        <w:rPr>
          <w:rFonts w:ascii="Times New Roman" w:eastAsia="Times New Roman" w:hAnsi="Times New Roman"/>
          <w:bCs/>
          <w:iCs/>
          <w:sz w:val="24"/>
          <w:szCs w:val="24"/>
        </w:rPr>
        <w:t xml:space="preserve">eglamento, ALĮ ar kitų teisės aktų, reglamentuojančių lošimų veiklą, nuostatų pažeidimų, nutraukė nuotolinio lošimo sutartis su  Bendrovės klientais, nors toks vienašališkas nuotolinio lošimo sutarties su Bendrovės klientais  nutraukimas neatitinka ALĮ ir Nuotolinio lošimo sutartyje nustatytų pagrindų, kuriems esant Bendrovė turi teisę nutraukti nuotolinio lošimo sutartį, </w:t>
      </w:r>
      <w:r w:rsidR="009C0B66">
        <w:rPr>
          <w:rFonts w:ascii="Times New Roman" w:eastAsia="Times New Roman" w:hAnsi="Times New Roman"/>
          <w:bCs/>
          <w:iCs/>
          <w:sz w:val="24"/>
          <w:szCs w:val="24"/>
        </w:rPr>
        <w:t>todėl</w:t>
      </w:r>
      <w:r w:rsidR="009C0B66" w:rsidRPr="007B2B15">
        <w:rPr>
          <w:rFonts w:ascii="Times New Roman" w:eastAsia="Times New Roman" w:hAnsi="Times New Roman"/>
          <w:bCs/>
          <w:iCs/>
          <w:sz w:val="24"/>
          <w:szCs w:val="24"/>
        </w:rPr>
        <w:t xml:space="preserve"> Bendrovė veikė ne pagal lošimo reglamentą</w:t>
      </w:r>
      <w:r w:rsidR="009C0B66">
        <w:rPr>
          <w:rFonts w:ascii="Times New Roman" w:eastAsia="Times New Roman" w:hAnsi="Times New Roman"/>
          <w:bCs/>
          <w:iCs/>
          <w:sz w:val="24"/>
          <w:szCs w:val="24"/>
        </w:rPr>
        <w:t xml:space="preserve"> ir tokiu būdu pažeidė </w:t>
      </w:r>
      <w:r w:rsidR="009C0B66" w:rsidRPr="007B2B15">
        <w:rPr>
          <w:rFonts w:ascii="Times New Roman" w:eastAsia="Times New Roman" w:hAnsi="Times New Roman"/>
          <w:bCs/>
          <w:iCs/>
          <w:sz w:val="24"/>
          <w:szCs w:val="24"/>
        </w:rPr>
        <w:t>ALĮ 18 straipsnio 1 dalies nuostatą</w:t>
      </w:r>
      <w:r w:rsidR="00852260">
        <w:rPr>
          <w:rFonts w:ascii="Times New Roman" w:eastAsia="Times New Roman" w:hAnsi="Times New Roman"/>
          <w:bCs/>
          <w:iCs/>
          <w:sz w:val="24"/>
          <w:szCs w:val="24"/>
        </w:rPr>
        <w:t>.</w:t>
      </w:r>
    </w:p>
    <w:bookmarkEnd w:id="0"/>
    <w:p w14:paraId="396C94A9" w14:textId="77777777" w:rsidR="00446BD4" w:rsidRPr="00446BD4" w:rsidRDefault="00446BD4" w:rsidP="00446BD4">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lt-LT"/>
          <w14:ligatures w14:val="none"/>
        </w:rPr>
      </w:pPr>
    </w:p>
    <w:p w14:paraId="158FD774" w14:textId="77777777" w:rsidR="00446BD4" w:rsidRPr="00446BD4" w:rsidRDefault="00446BD4" w:rsidP="00446BD4">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446BD4">
        <w:rPr>
          <w:rFonts w:ascii="Times New Roman" w:eastAsia="Times New Roman" w:hAnsi="Times New Roman" w:cs="Times New Roman"/>
          <w:kern w:val="0"/>
          <w:sz w:val="24"/>
          <w:szCs w:val="24"/>
          <w:bdr w:val="none" w:sz="0" w:space="0" w:color="auto" w:frame="1"/>
          <w:lang w:eastAsia="lt-LT"/>
          <w14:ligatures w14:val="none"/>
        </w:rPr>
        <w:t>Priežiūros tarnybos priimami sprendimai nėra galutiniai bei gali būti skundžiami Lietuvos Respublikos administracinių bylų teisenos įstatymo nustatyta tvarka.</w:t>
      </w:r>
    </w:p>
    <w:p w14:paraId="0E0C3E82" w14:textId="77777777" w:rsidR="001251C7" w:rsidRPr="00446BD4" w:rsidRDefault="001251C7" w:rsidP="00446BD4">
      <w:pPr>
        <w:spacing w:after="0" w:line="240" w:lineRule="auto"/>
        <w:rPr>
          <w:rFonts w:ascii="Times New Roman" w:hAnsi="Times New Roman" w:cs="Times New Roman"/>
          <w:sz w:val="24"/>
          <w:szCs w:val="24"/>
        </w:rPr>
      </w:pPr>
    </w:p>
    <w:sectPr w:rsidR="001251C7" w:rsidRPr="00446BD4" w:rsidSect="002A6A3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C7"/>
    <w:rsid w:val="00022FED"/>
    <w:rsid w:val="0006258B"/>
    <w:rsid w:val="000768E7"/>
    <w:rsid w:val="000921ED"/>
    <w:rsid w:val="000D0E1C"/>
    <w:rsid w:val="000D149D"/>
    <w:rsid w:val="000D3161"/>
    <w:rsid w:val="001251C7"/>
    <w:rsid w:val="002148D2"/>
    <w:rsid w:val="00233D7C"/>
    <w:rsid w:val="002739E3"/>
    <w:rsid w:val="00297CD8"/>
    <w:rsid w:val="002A6A34"/>
    <w:rsid w:val="002B7A2D"/>
    <w:rsid w:val="00347C10"/>
    <w:rsid w:val="00446BD4"/>
    <w:rsid w:val="00483BCD"/>
    <w:rsid w:val="005E7090"/>
    <w:rsid w:val="007370FF"/>
    <w:rsid w:val="00852260"/>
    <w:rsid w:val="0085653F"/>
    <w:rsid w:val="008718A5"/>
    <w:rsid w:val="00954351"/>
    <w:rsid w:val="009C0B66"/>
    <w:rsid w:val="009C3263"/>
    <w:rsid w:val="00AD545C"/>
    <w:rsid w:val="00B45E80"/>
    <w:rsid w:val="00BD793D"/>
    <w:rsid w:val="00C47493"/>
    <w:rsid w:val="00CF5681"/>
    <w:rsid w:val="00D012B5"/>
    <w:rsid w:val="00D138FB"/>
    <w:rsid w:val="00D5618A"/>
    <w:rsid w:val="00E4689C"/>
    <w:rsid w:val="00ED1095"/>
    <w:rsid w:val="00F03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0039"/>
  <w15:chartTrackingRefBased/>
  <w15:docId w15:val="{70699FC8-9A80-4F20-933F-1B3F9099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C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2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1171</Words>
  <Characters>668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Vosylius</dc:creator>
  <cp:keywords/>
  <dc:description/>
  <cp:lastModifiedBy>Vitalija Liaukevičienė</cp:lastModifiedBy>
  <cp:revision>8</cp:revision>
  <dcterms:created xsi:type="dcterms:W3CDTF">2025-08-22T12:11:00Z</dcterms:created>
  <dcterms:modified xsi:type="dcterms:W3CDTF">2025-08-22T12:29:00Z</dcterms:modified>
</cp:coreProperties>
</file>