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E372" w14:textId="77777777" w:rsidR="00A96001" w:rsidRPr="00A96001" w:rsidRDefault="00A96001" w:rsidP="00A96001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sz w:val="24"/>
          <w:szCs w:val="24"/>
          <w14:ligatures w14:val="none"/>
        </w:rPr>
      </w:pPr>
      <w:r w:rsidRPr="00A96001">
        <w:rPr>
          <w:rFonts w:ascii="Times New Roman" w:eastAsia="Times New Roman" w:hAnsi="Times New Roman" w:cs="Arial"/>
          <w:bCs/>
          <w:kern w:val="0"/>
          <w:sz w:val="24"/>
          <w:szCs w:val="24"/>
          <w14:ligatures w14:val="none"/>
        </w:rPr>
        <w:t xml:space="preserve">DĖL ATLIKTO UAB „TETE-A-TETE“ KAZINO NEPLANINIO SPECIALIOJO PATIKRINIMO, PAGAL </w:t>
      </w:r>
      <w:r w:rsidRPr="00A96001">
        <w:rPr>
          <w:rFonts w:ascii="Times New Roman" w:eastAsia="Calibri" w:hAnsi="Times New Roman" w:cs="Arial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VIENUOLIKA 2024 M. PAVEDIMŲ PATIKRINTI (PT-37, PT-38, PT-43, PT-44, PT-47, PT-48, PT-51, PT-54, PT-55, PT-56 IR PT-59)</w:t>
      </w:r>
    </w:p>
    <w:p w14:paraId="3A19848D" w14:textId="77777777" w:rsidR="00A96001" w:rsidRDefault="00A96001" w:rsidP="000512C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A2559EA" w14:textId="60EB333D" w:rsidR="000512C9" w:rsidRPr="000512C9" w:rsidRDefault="000512C9" w:rsidP="000512C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Lošimų priežiūros tarnyba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prie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Lietuvos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Respublikos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finansų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ministerijos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toliau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– Priežiūros tarnyba)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lošimų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organizatoriui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0512C9">
        <w:rPr>
          <w:rFonts w:asciiTheme="majorBidi" w:hAnsiTheme="majorBidi" w:cstheme="majorBidi"/>
          <w:sz w:val="24"/>
          <w:szCs w:val="24"/>
          <w:lang w:val="en-US"/>
        </w:rPr>
        <w:t>UAB ,,Tete</w:t>
      </w:r>
      <w:proofErr w:type="gramEnd"/>
      <w:r w:rsidRPr="000512C9">
        <w:rPr>
          <w:rFonts w:asciiTheme="majorBidi" w:hAnsiTheme="majorBidi" w:cstheme="majorBidi"/>
          <w:sz w:val="24"/>
          <w:szCs w:val="24"/>
          <w:lang w:val="en-US"/>
        </w:rPr>
        <w:t>-a-</w:t>
      </w:r>
      <w:proofErr w:type="gramStart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tete“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kazino</w:t>
      </w:r>
      <w:proofErr w:type="spellEnd"/>
      <w:proofErr w:type="gram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toliau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–</w:t>
      </w:r>
      <w:r w:rsidR="008503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Bendrovė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skyrė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15 000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Eur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baudą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už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Lietuvos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Respublikos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azartinių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lošimų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įstatymo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toliau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– ALĮ) 18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straipsnio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1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dalies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kurioje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nustatyta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kad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lošimai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organizuojami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pagal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lošimo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reglamentą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pažeidimą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5F74637" w14:textId="0A265564" w:rsidR="000512C9" w:rsidRPr="000512C9" w:rsidRDefault="000512C9" w:rsidP="000512C9">
      <w:pPr>
        <w:jc w:val="both"/>
        <w:rPr>
          <w:rFonts w:asciiTheme="majorBidi" w:hAnsiTheme="majorBidi" w:cstheme="majorBidi"/>
          <w:sz w:val="24"/>
          <w:szCs w:val="24"/>
        </w:rPr>
      </w:pP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2024 m.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lapkričio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>3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d.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-</w:t>
      </w:r>
      <w:r w:rsidR="00F620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2024 m.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gruodžio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2 d. Priežiūros tarnyba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gavo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10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Pareiškėj</w:t>
      </w:r>
      <w:proofErr w:type="spellEnd"/>
      <w:r w:rsidRPr="000512C9">
        <w:rPr>
          <w:rFonts w:asciiTheme="majorBidi" w:hAnsiTheme="majorBidi" w:cstheme="majorBidi"/>
          <w:sz w:val="24"/>
          <w:szCs w:val="24"/>
        </w:rPr>
        <w:t>ų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pranešim</w:t>
      </w:r>
      <w:r w:rsidR="00F62016">
        <w:rPr>
          <w:rFonts w:asciiTheme="majorBidi" w:hAnsiTheme="majorBidi" w:cstheme="majorBidi"/>
          <w:sz w:val="24"/>
          <w:szCs w:val="24"/>
          <w:lang w:val="en-US"/>
        </w:rPr>
        <w:t>us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dėl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Bendrovės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veiksmų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nuotolinio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lošimo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sutarčių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su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Pareiškėjais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nutraukimo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9D7DDD6" w14:textId="7331B3A1" w:rsidR="000512C9" w:rsidRPr="00F62016" w:rsidRDefault="000512C9" w:rsidP="00F62016">
      <w:pPr>
        <w:jc w:val="both"/>
        <w:rPr>
          <w:rFonts w:asciiTheme="majorBidi" w:hAnsiTheme="majorBidi" w:cstheme="majorBidi"/>
          <w:sz w:val="24"/>
          <w:szCs w:val="24"/>
        </w:rPr>
      </w:pPr>
      <w:r w:rsidRPr="000512C9">
        <w:rPr>
          <w:rFonts w:asciiTheme="majorBidi" w:hAnsiTheme="majorBidi" w:cstheme="majorBidi"/>
          <w:sz w:val="24"/>
          <w:szCs w:val="24"/>
        </w:rPr>
        <w:t xml:space="preserve">Atlikus bendrovės neplaninį specialųjį patikrinimą, konstatuota, kad Bendrovė vienašališkai įtvirtinusi nuotolinio lošimo sutarčių su lošėjais nutraukimo pagrindą </w:t>
      </w:r>
      <w:r>
        <w:rPr>
          <w:rFonts w:asciiTheme="majorBidi" w:hAnsiTheme="majorBidi" w:cstheme="majorBidi"/>
          <w:sz w:val="24"/>
          <w:szCs w:val="24"/>
        </w:rPr>
        <w:t xml:space="preserve">Bendrovės direktoriaus </w:t>
      </w:r>
      <w:r w:rsidR="00F62016">
        <w:rPr>
          <w:rFonts w:asciiTheme="majorBidi" w:hAnsiTheme="majorBidi" w:cstheme="majorBidi"/>
          <w:sz w:val="24"/>
          <w:szCs w:val="24"/>
        </w:rPr>
        <w:t xml:space="preserve">įsakymu </w:t>
      </w:r>
      <w:r>
        <w:rPr>
          <w:rFonts w:asciiTheme="majorBidi" w:hAnsiTheme="majorBidi" w:cstheme="majorBidi"/>
          <w:sz w:val="24"/>
          <w:szCs w:val="24"/>
        </w:rPr>
        <w:t>patvirtint</w:t>
      </w:r>
      <w:r w:rsidR="00F62016">
        <w:rPr>
          <w:rFonts w:asciiTheme="majorBidi" w:hAnsiTheme="majorBidi" w:cstheme="majorBidi"/>
          <w:sz w:val="24"/>
          <w:szCs w:val="24"/>
        </w:rPr>
        <w:t>ame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62016">
        <w:rPr>
          <w:rFonts w:asciiTheme="majorBidi" w:hAnsiTheme="majorBidi" w:cstheme="majorBidi"/>
          <w:sz w:val="24"/>
          <w:szCs w:val="24"/>
        </w:rPr>
        <w:t>Bendrovės vidiniame tvarkos apraše</w:t>
      </w:r>
      <w:r w:rsidRPr="000512C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ir</w:t>
      </w:r>
      <w:r w:rsidRPr="000512C9">
        <w:rPr>
          <w:rFonts w:asciiTheme="majorBidi" w:hAnsiTheme="majorBidi" w:cstheme="majorBidi"/>
          <w:sz w:val="24"/>
          <w:szCs w:val="24"/>
        </w:rPr>
        <w:t xml:space="preserve"> remdamasi </w:t>
      </w:r>
      <w:r w:rsidR="00F62016" w:rsidRPr="00F62016">
        <w:rPr>
          <w:rFonts w:asciiTheme="majorBidi" w:hAnsiTheme="majorBidi" w:cstheme="majorBidi"/>
          <w:sz w:val="24"/>
          <w:szCs w:val="24"/>
        </w:rPr>
        <w:t>Bendrovės vidini</w:t>
      </w:r>
      <w:r w:rsidR="00F62016">
        <w:rPr>
          <w:rFonts w:asciiTheme="majorBidi" w:hAnsiTheme="majorBidi" w:cstheme="majorBidi"/>
          <w:sz w:val="24"/>
          <w:szCs w:val="24"/>
        </w:rPr>
        <w:t>u</w:t>
      </w:r>
      <w:r w:rsidR="00F62016" w:rsidRPr="00F62016">
        <w:rPr>
          <w:rFonts w:asciiTheme="majorBidi" w:hAnsiTheme="majorBidi" w:cstheme="majorBidi"/>
          <w:sz w:val="24"/>
          <w:szCs w:val="24"/>
        </w:rPr>
        <w:t xml:space="preserve"> tvarkos apraš</w:t>
      </w:r>
      <w:r w:rsidR="00F62016">
        <w:rPr>
          <w:rFonts w:asciiTheme="majorBidi" w:hAnsiTheme="majorBidi" w:cstheme="majorBidi"/>
          <w:sz w:val="24"/>
          <w:szCs w:val="24"/>
        </w:rPr>
        <w:t>u</w:t>
      </w:r>
      <w:r w:rsidRPr="000512C9">
        <w:rPr>
          <w:rFonts w:asciiTheme="majorBidi" w:hAnsiTheme="majorBidi" w:cstheme="majorBidi"/>
          <w:sz w:val="24"/>
          <w:szCs w:val="24"/>
        </w:rPr>
        <w:t xml:space="preserve"> ir Bendrovės nuotolinio lošimo reglamento 15.3 papun</w:t>
      </w:r>
      <w:r w:rsidRPr="00F62016">
        <w:rPr>
          <w:rFonts w:asciiTheme="majorBidi" w:hAnsiTheme="majorBidi" w:cstheme="majorBidi"/>
          <w:sz w:val="24"/>
          <w:szCs w:val="24"/>
        </w:rPr>
        <w:t>kčiu</w:t>
      </w:r>
      <w:r w:rsidR="00F62016" w:rsidRPr="00F62016">
        <w:rPr>
          <w:rFonts w:asciiTheme="majorBidi" w:hAnsiTheme="majorBidi" w:cstheme="majorBidi"/>
          <w:sz w:val="24"/>
          <w:szCs w:val="24"/>
        </w:rPr>
        <w:t xml:space="preserve">, </w:t>
      </w:r>
      <w:r w:rsidRPr="000512C9">
        <w:rPr>
          <w:rFonts w:asciiTheme="majorBidi" w:hAnsiTheme="majorBidi" w:cstheme="majorBidi"/>
          <w:sz w:val="24"/>
          <w:szCs w:val="24"/>
        </w:rPr>
        <w:t>2024 m. lapkričio 13 d. nutraukė nuotolinio lošimo sutart</w:t>
      </w:r>
      <w:r w:rsidR="00F62016" w:rsidRPr="00F62016">
        <w:rPr>
          <w:rFonts w:asciiTheme="majorBidi" w:hAnsiTheme="majorBidi" w:cstheme="majorBidi"/>
          <w:sz w:val="24"/>
          <w:szCs w:val="24"/>
        </w:rPr>
        <w:t>is</w:t>
      </w:r>
      <w:r w:rsidRPr="000512C9">
        <w:rPr>
          <w:rFonts w:asciiTheme="majorBidi" w:hAnsiTheme="majorBidi" w:cstheme="majorBidi"/>
          <w:sz w:val="24"/>
          <w:szCs w:val="24"/>
        </w:rPr>
        <w:t xml:space="preserve"> su Pareiškėj</w:t>
      </w:r>
      <w:r w:rsidRPr="00F62016">
        <w:rPr>
          <w:rFonts w:asciiTheme="majorBidi" w:hAnsiTheme="majorBidi" w:cstheme="majorBidi"/>
          <w:sz w:val="24"/>
          <w:szCs w:val="24"/>
        </w:rPr>
        <w:t>ais</w:t>
      </w:r>
      <w:r w:rsidRPr="00F62016">
        <w:rPr>
          <w:rFonts w:asciiTheme="majorBidi" w:hAnsiTheme="majorBidi" w:cstheme="majorBidi"/>
          <w:sz w:val="24"/>
          <w:szCs w:val="24"/>
        </w:rPr>
        <w:t xml:space="preserve">, nors toks vienašališkas </w:t>
      </w:r>
      <w:r w:rsidR="00F62016" w:rsidRPr="00F62016">
        <w:rPr>
          <w:rFonts w:asciiTheme="majorBidi" w:hAnsiTheme="majorBidi" w:cstheme="majorBidi"/>
          <w:sz w:val="24"/>
          <w:szCs w:val="24"/>
        </w:rPr>
        <w:t>nuotolinio lošimo s</w:t>
      </w:r>
      <w:r w:rsidRPr="00F62016">
        <w:rPr>
          <w:rFonts w:asciiTheme="majorBidi" w:hAnsiTheme="majorBidi" w:cstheme="majorBidi"/>
          <w:sz w:val="24"/>
          <w:szCs w:val="24"/>
        </w:rPr>
        <w:t xml:space="preserve">utarčių su Pareiškėjais nutraukimas neatitinka ALĮ ir </w:t>
      </w:r>
      <w:r w:rsidRPr="00F62016">
        <w:rPr>
          <w:rFonts w:asciiTheme="majorBidi" w:hAnsiTheme="majorBidi" w:cstheme="majorBidi"/>
          <w:sz w:val="24"/>
          <w:szCs w:val="24"/>
        </w:rPr>
        <w:t>n</w:t>
      </w:r>
      <w:r w:rsidRPr="00F62016">
        <w:rPr>
          <w:rFonts w:asciiTheme="majorBidi" w:hAnsiTheme="majorBidi" w:cstheme="majorBidi"/>
          <w:sz w:val="24"/>
          <w:szCs w:val="24"/>
        </w:rPr>
        <w:t xml:space="preserve">uotolinio lošimo sutartyje nustatytų pagrindų, kuriems esant Bendrovė turi teisę </w:t>
      </w:r>
      <w:r w:rsidR="00F62016">
        <w:rPr>
          <w:rFonts w:asciiTheme="majorBidi" w:hAnsiTheme="majorBidi" w:cstheme="majorBidi"/>
          <w:sz w:val="24"/>
          <w:szCs w:val="24"/>
        </w:rPr>
        <w:t xml:space="preserve">nutraukti </w:t>
      </w:r>
      <w:r w:rsidR="00F62016" w:rsidRPr="00F62016">
        <w:rPr>
          <w:rFonts w:asciiTheme="majorBidi" w:hAnsiTheme="majorBidi" w:cstheme="majorBidi"/>
          <w:sz w:val="24"/>
          <w:szCs w:val="24"/>
        </w:rPr>
        <w:t>nuotolinio lošimo</w:t>
      </w:r>
      <w:r w:rsidRPr="00F62016">
        <w:rPr>
          <w:rFonts w:asciiTheme="majorBidi" w:hAnsiTheme="majorBidi" w:cstheme="majorBidi"/>
          <w:sz w:val="24"/>
          <w:szCs w:val="24"/>
        </w:rPr>
        <w:t xml:space="preserve"> </w:t>
      </w:r>
      <w:r w:rsidR="00F62016" w:rsidRPr="00F62016">
        <w:rPr>
          <w:rFonts w:asciiTheme="majorBidi" w:hAnsiTheme="majorBidi" w:cstheme="majorBidi"/>
          <w:sz w:val="24"/>
          <w:szCs w:val="24"/>
        </w:rPr>
        <w:t>s</w:t>
      </w:r>
      <w:r w:rsidRPr="00F62016">
        <w:rPr>
          <w:rFonts w:asciiTheme="majorBidi" w:hAnsiTheme="majorBidi" w:cstheme="majorBidi"/>
          <w:sz w:val="24"/>
          <w:szCs w:val="24"/>
        </w:rPr>
        <w:t xml:space="preserve">utartis, </w:t>
      </w:r>
      <w:r w:rsidR="00F62016" w:rsidRPr="000512C9">
        <w:rPr>
          <w:rFonts w:asciiTheme="majorBidi" w:hAnsiTheme="majorBidi" w:cstheme="majorBidi"/>
          <w:sz w:val="24"/>
          <w:szCs w:val="24"/>
        </w:rPr>
        <w:t xml:space="preserve">ir tokiu būdu </w:t>
      </w:r>
      <w:r w:rsidRPr="00F62016">
        <w:rPr>
          <w:rFonts w:asciiTheme="majorBidi" w:hAnsiTheme="majorBidi" w:cstheme="majorBidi"/>
          <w:sz w:val="24"/>
          <w:szCs w:val="24"/>
        </w:rPr>
        <w:t>pažeidė ALĮ 18 straipsnio 1 dalies nuostatą.</w:t>
      </w:r>
    </w:p>
    <w:p w14:paraId="1CE7403A" w14:textId="77777777" w:rsidR="000512C9" w:rsidRPr="000512C9" w:rsidRDefault="000512C9" w:rsidP="000512C9">
      <w:pPr>
        <w:jc w:val="both"/>
        <w:rPr>
          <w:rFonts w:asciiTheme="majorBidi" w:hAnsiTheme="majorBidi" w:cstheme="majorBidi"/>
          <w:sz w:val="24"/>
          <w:szCs w:val="24"/>
        </w:rPr>
      </w:pPr>
      <w:r w:rsidRPr="000512C9">
        <w:rPr>
          <w:rFonts w:asciiTheme="majorBidi" w:hAnsiTheme="majorBidi" w:cstheme="majorBidi"/>
          <w:sz w:val="24"/>
          <w:szCs w:val="24"/>
        </w:rPr>
        <w:t>Priežiūros tarnybos priimami sprendimai nėra galutiniai bei gali būti skundžiami Lietuvos Respublikos administracinių bylų teisenos įstatymo nustatyta tvarka.</w:t>
      </w:r>
    </w:p>
    <w:p w14:paraId="565E588E" w14:textId="77777777" w:rsidR="000D149D" w:rsidRDefault="000D149D"/>
    <w:sectPr w:rsidR="000D149D" w:rsidSect="002A6A3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F"/>
    <w:rsid w:val="000512C9"/>
    <w:rsid w:val="000D149D"/>
    <w:rsid w:val="000F0438"/>
    <w:rsid w:val="002A6A34"/>
    <w:rsid w:val="002F0E04"/>
    <w:rsid w:val="007726CF"/>
    <w:rsid w:val="007933E8"/>
    <w:rsid w:val="00850312"/>
    <w:rsid w:val="00A96001"/>
    <w:rsid w:val="00DC62E4"/>
    <w:rsid w:val="00F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4AC"/>
  <w15:chartTrackingRefBased/>
  <w15:docId w15:val="{E2F77E09-4D50-43AF-ACC4-9023309E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C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C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C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CF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C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CF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C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CF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77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C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C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77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CF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772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CF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7726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Vosylius</dc:creator>
  <cp:keywords/>
  <dc:description/>
  <cp:lastModifiedBy>Martynas Vosylius</cp:lastModifiedBy>
  <cp:revision>3</cp:revision>
  <dcterms:created xsi:type="dcterms:W3CDTF">2025-07-02T08:28:00Z</dcterms:created>
  <dcterms:modified xsi:type="dcterms:W3CDTF">2025-07-02T08:29:00Z</dcterms:modified>
</cp:coreProperties>
</file>